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Baseline Planning Run Schema Guide</w:t>
      </w:r>
    </w:p>
    <w:p>
      <w:pPr>
        <w:spacing w:after="220"/>
      </w:pPr>
      <w:r>
        <w:rPr>
          <w:color w:val="52635B"/>
          <w:sz w:val="22"/>
        </w:rPr>
        <w:t>A short field guide with a complete example</w:t>
      </w:r>
    </w:p>
    <w:p>
      <w:r>
        <w:t>A baseline is the original workforce schedule saved before climate-aware planning changes it. The planning run stores that schedule together with the exact work orders, workers, and equipment supplied for the run. This gives later schedule evaluation a stable reference.</w:t>
      </w:r>
    </w:p>
    <w:p>
      <w:pPr>
        <w:pStyle w:val="Heading1"/>
      </w:pPr>
      <w:r>
        <w:t>How the records fit together</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944"/>
            <w:vAlign w:val="center"/>
            <w:shd w:fill="245C4B"/>
          </w:tcPr>
          <w:p>
            <w:pPr>
              <w:spacing w:after="20" w:before="20"/>
            </w:pPr>
            <w:r/>
            <w:r>
              <w:rPr>
                <w:rFonts w:ascii="Arial" w:hAnsi="Arial"/>
                <w:b/>
                <w:color w:val="FFFFFF"/>
                <w:sz w:val="16"/>
              </w:rPr>
              <w:t>Record</w:t>
            </w:r>
          </w:p>
        </w:tc>
        <w:tc>
          <w:tcPr>
            <w:tcW w:type="dxa" w:w="4464"/>
            <w:vAlign w:val="center"/>
            <w:shd w:fill="245C4B"/>
          </w:tcPr>
          <w:p>
            <w:pPr>
              <w:spacing w:after="20" w:before="20"/>
            </w:pPr>
            <w:r/>
            <w:r>
              <w:rPr>
                <w:rFonts w:ascii="Arial" w:hAnsi="Arial"/>
                <w:b/>
                <w:color w:val="FFFFFF"/>
                <w:sz w:val="16"/>
              </w:rPr>
              <w:t>What it represents</w:t>
            </w:r>
          </w:p>
        </w:tc>
        <w:tc>
          <w:tcPr>
            <w:tcW w:type="dxa" w:w="3672"/>
            <w:vAlign w:val="center"/>
            <w:shd w:fill="245C4B"/>
          </w:tcPr>
          <w:p>
            <w:pPr>
              <w:spacing w:after="20" w:before="20"/>
            </w:pPr>
            <w:r/>
            <w:r>
              <w:rPr>
                <w:rFonts w:ascii="Arial" w:hAnsi="Arial"/>
                <w:b/>
                <w:color w:val="FFFFFF"/>
                <w:sz w:val="16"/>
              </w:rPr>
              <w:t>In the example</w:t>
            </w:r>
          </w:p>
        </w:tc>
      </w:tr>
      <w:tr>
        <w:tc>
          <w:tcPr>
            <w:tcW w:type="dxa" w:w="1944"/>
            <w:vAlign w:val="center"/>
          </w:tcPr>
          <w:p>
            <w:pPr>
              <w:spacing w:after="20" w:before="20"/>
            </w:pPr>
            <w:r/>
            <w:r>
              <w:rPr>
                <w:rFonts w:ascii="Arial" w:hAnsi="Arial"/>
                <w:b/>
                <w:color w:val="23302C"/>
                <w:sz w:val="16"/>
              </w:rPr>
              <w:t>PlanningRunRequest</w:t>
            </w:r>
          </w:p>
        </w:tc>
        <w:tc>
          <w:tcPr>
            <w:tcW w:type="dxa" w:w="4464"/>
            <w:vAlign w:val="center"/>
          </w:tcPr>
          <w:p>
            <w:pPr>
              <w:spacing w:after="20" w:before="20"/>
            </w:pPr>
            <w:r/>
            <w:r>
              <w:rPr>
                <w:rFonts w:ascii="Arial" w:hAnsi="Arial"/>
                <w:b w:val="0"/>
                <w:color w:val="23302C"/>
                <w:sz w:val="16"/>
              </w:rPr>
              <w:t>The create request: one run ID, its input dataset, original assignments, and any unscheduled work.</w:t>
            </w:r>
          </w:p>
        </w:tc>
        <w:tc>
          <w:tcPr>
            <w:tcW w:type="dxa" w:w="3672"/>
            <w:vAlign w:val="center"/>
          </w:tcPr>
          <w:p>
            <w:pPr>
              <w:spacing w:after="20" w:before="20"/>
            </w:pPr>
            <w:r/>
            <w:r>
              <w:rPr>
                <w:rFonts w:ascii="Arial" w:hAnsi="Arial"/>
                <w:b w:val="0"/>
                <w:color w:val="23302C"/>
                <w:sz w:val="16"/>
              </w:rPr>
              <w:t>Input sent to POST /api/planning-runs</w:t>
            </w:r>
          </w:p>
        </w:tc>
      </w:tr>
      <w:tr>
        <w:tc>
          <w:tcPr>
            <w:tcW w:type="dxa" w:w="1944"/>
            <w:vAlign w:val="center"/>
            <w:shd w:fill="F0F4F1"/>
          </w:tcPr>
          <w:p>
            <w:pPr>
              <w:spacing w:after="20" w:before="20"/>
            </w:pPr>
            <w:r/>
            <w:r>
              <w:rPr>
                <w:rFonts w:ascii="Arial" w:hAnsi="Arial"/>
                <w:b/>
                <w:color w:val="23302C"/>
                <w:sz w:val="16"/>
              </w:rPr>
              <w:t>PlanningDataset</w:t>
            </w:r>
          </w:p>
        </w:tc>
        <w:tc>
          <w:tcPr>
            <w:tcW w:type="dxa" w:w="4464"/>
            <w:vAlign w:val="center"/>
            <w:shd w:fill="F0F4F1"/>
          </w:tcPr>
          <w:p>
            <w:pPr>
              <w:spacing w:after="20" w:before="20"/>
            </w:pPr>
            <w:r/>
            <w:r>
              <w:rPr>
                <w:rFonts w:ascii="Arial" w:hAnsi="Arial"/>
                <w:b w:val="0"/>
                <w:color w:val="23302C"/>
                <w:sz w:val="16"/>
              </w:rPr>
              <w:t>The source work orders, workers, and equipment captured for this run.</w:t>
            </w:r>
          </w:p>
        </w:tc>
        <w:tc>
          <w:tcPr>
            <w:tcW w:type="dxa" w:w="3672"/>
            <w:vAlign w:val="center"/>
            <w:shd w:fill="F0F4F1"/>
          </w:tcPr>
          <w:p>
            <w:pPr>
              <w:spacing w:after="20" w:before="20"/>
            </w:pPr>
            <w:r/>
            <w:r>
              <w:rPr>
                <w:rFonts w:ascii="Arial" w:hAnsi="Arial"/>
                <w:b w:val="0"/>
                <w:color w:val="23302C"/>
                <w:sz w:val="16"/>
              </w:rPr>
              <w:t>1 work order, 2 workers, 1 equipment item</w:t>
            </w:r>
          </w:p>
        </w:tc>
      </w:tr>
      <w:tr>
        <w:tc>
          <w:tcPr>
            <w:tcW w:type="dxa" w:w="1944"/>
            <w:vAlign w:val="center"/>
          </w:tcPr>
          <w:p>
            <w:pPr>
              <w:spacing w:after="20" w:before="20"/>
            </w:pPr>
            <w:r/>
            <w:r>
              <w:rPr>
                <w:rFonts w:ascii="Arial" w:hAnsi="Arial"/>
                <w:b/>
                <w:color w:val="23302C"/>
                <w:sz w:val="16"/>
              </w:rPr>
              <w:t>BaselineSnapshot</w:t>
            </w:r>
          </w:p>
        </w:tc>
        <w:tc>
          <w:tcPr>
            <w:tcW w:type="dxa" w:w="4464"/>
            <w:vAlign w:val="center"/>
          </w:tcPr>
          <w:p>
            <w:pPr>
              <w:spacing w:after="20" w:before="20"/>
            </w:pPr>
            <w:r/>
            <w:r>
              <w:rPr>
                <w:rFonts w:ascii="Arial" w:hAnsi="Arial"/>
                <w:b w:val="0"/>
                <w:color w:val="23302C"/>
                <w:sz w:val="16"/>
              </w:rPr>
              <w:t>The persisted, write-once copy of the original schedule and its evaluation.</w:t>
            </w:r>
          </w:p>
        </w:tc>
        <w:tc>
          <w:tcPr>
            <w:tcW w:type="dxa" w:w="3672"/>
            <w:vAlign w:val="center"/>
          </w:tcPr>
          <w:p>
            <w:pPr>
              <w:spacing w:after="20" w:before="20"/>
            </w:pPr>
            <w:r/>
            <w:r>
              <w:rPr>
                <w:rFonts w:ascii="Arial" w:hAnsi="Arial"/>
                <w:b w:val="0"/>
                <w:color w:val="23302C"/>
                <w:sz w:val="16"/>
              </w:rPr>
              <w:t>Returned by the create endpoint and available from the baseline GET endpoint</w:t>
            </w:r>
          </w:p>
        </w:tc>
      </w:tr>
      <w:tr>
        <w:tc>
          <w:tcPr>
            <w:tcW w:type="dxa" w:w="1944"/>
            <w:vAlign w:val="center"/>
            <w:shd w:fill="F0F4F1"/>
          </w:tcPr>
          <w:p>
            <w:pPr>
              <w:spacing w:after="20" w:before="20"/>
            </w:pPr>
            <w:r/>
            <w:r>
              <w:rPr>
                <w:rFonts w:ascii="Arial" w:hAnsi="Arial"/>
                <w:b/>
                <w:color w:val="23302C"/>
                <w:sz w:val="16"/>
              </w:rPr>
              <w:t>ScheduleMetrics</w:t>
            </w:r>
          </w:p>
        </w:tc>
        <w:tc>
          <w:tcPr>
            <w:tcW w:type="dxa" w:w="4464"/>
            <w:vAlign w:val="center"/>
            <w:shd w:fill="F0F4F1"/>
          </w:tcPr>
          <w:p>
            <w:pPr>
              <w:spacing w:after="20" w:before="20"/>
            </w:pPr>
            <w:r/>
            <w:r>
              <w:rPr>
                <w:rFonts w:ascii="Arial" w:hAnsi="Arial"/>
                <w:b w:val="0"/>
                <w:color w:val="23302C"/>
                <w:sz w:val="16"/>
              </w:rPr>
              <w:t>Versioned counts and time totals calculated by the shared evaluator.</w:t>
            </w:r>
          </w:p>
        </w:tc>
        <w:tc>
          <w:tcPr>
            <w:tcW w:type="dxa" w:w="3672"/>
            <w:vAlign w:val="center"/>
            <w:shd w:fill="F0F4F1"/>
          </w:tcPr>
          <w:p>
            <w:pPr>
              <w:spacing w:after="20" w:before="20"/>
            </w:pPr>
            <w:r/>
            <w:r>
              <w:rPr>
                <w:rFonts w:ascii="Arial" w:hAnsi="Arial"/>
                <w:b w:val="0"/>
                <w:color w:val="23302C"/>
                <w:sz w:val="16"/>
              </w:rPr>
              <w:t>1 assignment, 2 worker allocations, 180 scheduled minutes</w:t>
            </w:r>
          </w:p>
        </w:tc>
      </w:tr>
    </w:tbl>
    <w:p>
      <w:pPr>
        <w:spacing w:after="0"/>
      </w:pPr>
    </w:p>
    <w:p>
      <w:pPr>
        <w:pStyle w:val="Heading1"/>
      </w:pPr>
      <w:r>
        <w:t>Reading the lifecycle</w:t>
      </w:r>
    </w:p>
    <w:p>
      <w:r>
        <w:t>The client submits the original schedule before optimization. The service checks that each assigned work order, worker, and equipment ID exists in the captured dataset, calculates metrics, and saves one baseline per planning_run_id. A duplicate run ID is rejected, so the original reference is not overwritten.</w:t>
      </w:r>
    </w:p>
    <w:p>
      <w:r>
        <w:t>The example uses Asia/Kolkata timestamps. A TimeWindow includes its start and excludes its end. The scheduled-minute metric is the difference between the assignment window end and start; it does not subtract cooling breaks.</w:t>
      </w:r>
    </w:p>
    <w:p>
      <w:r>
        <w:br w:type="page"/>
      </w:r>
    </w:p>
    <w:p>
      <w:pPr>
        <w:pStyle w:val="Heading1"/>
      </w:pPr>
      <w:r>
        <w:t>Example create request</w:t>
      </w:r>
    </w:p>
    <w:p>
      <w:r>
        <w:t>This compact example schedules one three-hour maintenance task with a two-person crew and one crane. All IDs referenced by the assignment are present in the dataset.</w:t>
      </w:r>
    </w:p>
    <w:p>
      <w:pPr>
        <w:spacing w:before="80" w:after="80" w:line="240" w:lineRule="auto"/>
        <w:ind w:left="173" w:right="173"/>
        <w:shd w:fill="F2F5F3"/>
      </w:pPr>
      <w:r>
        <w:rPr>
          <w:rFonts w:ascii="Consolas" w:hAnsi="Consolas"/>
          <w:color w:val="1E3029"/>
          <w:sz w:val="14"/>
        </w:rPr>
        <w:t>{</w:t>
        <w:br/>
        <w:t xml:space="preserve">  "planning_run_id": "RUN-2048",</w:t>
        <w:br/>
        <w:t xml:space="preserve">  "dataset": {</w:t>
        <w:br/>
        <w:t xml:space="preserve">    "work_orders": [{</w:t>
        <w:br/>
        <w:t xml:space="preserve">      "work_order_id": "WO-104",</w:t>
        <w:br/>
        <w:t xml:space="preserve">      "title": "Replace heat-exchanger gasket",</w:t>
        <w:br/>
        <w:t xml:space="preserve">      "duration_minutes": 180,</w:t>
        <w:br/>
        <w:t xml:space="preserve">      "priority": "high",</w:t>
        <w:br/>
        <w:t xml:space="preserve">      "site_id": "VAD-PLANT-01",</w:t>
        <w:br/>
        <w:t xml:space="preserve">      "required_skills": ["mechanical"],</w:t>
        <w:br/>
        <w:t xml:space="preserve">      "required_certifications": [],</w:t>
        <w:br/>
        <w:t xml:space="preserve">      "min_crew_size": 2,</w:t>
        <w:br/>
        <w:t xml:space="preserve">      "max_crew_size": 2,</w:t>
        <w:br/>
        <w:t xml:space="preserve">      "depends_on": [],</w:t>
        <w:br/>
        <w:t xml:space="preserve">      "required_equipment_ids": ["EQ-CRANE-01"],</w:t>
        <w:br/>
        <w:t xml:space="preserve">      "planning_window": {"start": "2026-10-13T06:00:00+05:30", "end": "2026-10-13T14:00:00+05:30"},</w:t>
        <w:br/>
        <w:t xml:space="preserve">      "deadline": "2026-10-13T14:00:00+05:30",</w:t>
        <w:br/>
        <w:t xml:space="preserve">      "exposure_type": "outdoor_heat",</w:t>
        <w:br/>
        <w:t xml:space="preserve">      "expected_exposure_duration_minutes": 150</w:t>
        <w:br/>
        <w:t xml:space="preserve">    }],</w:t>
        <w:br/>
        <w:t xml:space="preserve">    "workers": [</w:t>
        <w:br/>
        <w:t xml:space="preserve">      {"worker_id": "W-01", "name": "Asha Patel", "skills": ["mechanical"],</w:t>
        <w:br/>
        <w:t xml:space="preserve">       "certifications": [],</w:t>
        <w:br/>
        <w:t xml:space="preserve">       "availability_windows": [{"start": "2026-10-13T06:00:00+05:30", "end": "2026-10-13T14:00:00+05:30"}],</w:t>
        <w:br/>
        <w:t xml:space="preserve">       "break_requirements": {"min_break_minutes": 15, "max_continuous_work_minutes": 120, "cooling_break_minutes": 20},</w:t>
        <w:br/>
        <w:t xml:space="preserve">       "max_shift_duration_minutes": 480},</w:t>
        <w:br/>
        <w:t xml:space="preserve">      {"worker_id": "W-02", "name": "Ravi Shah", "skills": ["mechanical"],</w:t>
        <w:br/>
        <w:t xml:space="preserve">       "certifications": [],</w:t>
        <w:br/>
        <w:t xml:space="preserve">       "availability_windows": [{"start": "2026-10-13T06:00:00+05:30", "end": "2026-10-13T14:00:00+05:30"}],</w:t>
        <w:br/>
        <w:t xml:space="preserve">       "break_requirements": {"min_break_minutes": 15, "max_continuous_work_minutes": 120, "cooling_break_minutes": 20},</w:t>
        <w:br/>
        <w:t xml:space="preserve">       "max_shift_duration_minutes": 480}</w:t>
        <w:br/>
        <w:t xml:space="preserve">    ],</w:t>
        <w:br/>
        <w:t xml:space="preserve">    "equipment": [{</w:t>
        <w:br/>
        <w:t xml:space="preserve">      "equipment_id": "EQ-CRANE-01",</w:t>
        <w:br/>
        <w:t xml:space="preserve">      "equipment_type": "mobile-crane",</w:t>
        <w:br/>
        <w:t xml:space="preserve">      "availability_windows": [{"start": "2026-10-13T06:00:00+05:30", "end": "2026-10-13T14:00:00+05:30"}],</w:t>
        <w:br/>
        <w:t xml:space="preserve">      "operational_status": "available",</w:t>
        <w:br/>
        <w:t xml:space="preserve">      "compatible_task_types": ["maintenance"],</w:t>
        <w:br/>
        <w:t xml:space="preserve">      "inspection_valid_until": "2026-12-31T23:59:00+05:30",</w:t>
        <w:br/>
        <w:t xml:space="preserve">      "site_id": "VAD-PLANT-01"</w:t>
        <w:br/>
        <w:t xml:space="preserve">    }]</w:t>
        <w:br/>
        <w:t xml:space="preserve">  },</w:t>
        <w:br/>
        <w:t xml:space="preserve">  "assignments": [{</w:t>
        <w:br/>
        <w:t xml:space="preserve">    "assignment_id": "A-104",</w:t>
        <w:br/>
        <w:t xml:space="preserve">    "work_order_id": "WO-104",</w:t>
        <w:br/>
        <w:t xml:space="preserve">    "site_id": "VAD-PLANT-01",</w:t>
        <w:br/>
        <w:t xml:space="preserve">    "worker_ids": ["W-01", "W-02"],</w:t>
        <w:br/>
        <w:t xml:space="preserve">    "equipment_ids": ["EQ-CRANE-01"],</w:t>
        <w:br/>
        <w:t xml:space="preserve">    "scheduled_window": {"start": "2026-10-13T06:00:00+05:30", "end": "2026-10-13T09:00:00+05:30"},</w:t>
        <w:br/>
        <w:t xml:space="preserve">    "cooling_breaks": [],</w:t>
        <w:br/>
        <w:t xml:space="preserve">    "decision": "proceed",</w:t>
        <w:br/>
        <w:t xml:space="preserve">    "rationale": "Original dispatch schedule before climate-aware planning."</w:t>
        <w:br/>
        <w:t xml:space="preserve">  }],</w:t>
        <w:br/>
        <w:t xml:space="preserve">  "unscheduled": []</w:t>
        <w:br/>
        <w:t>}</w:t>
      </w:r>
    </w:p>
    <w:p>
      <w:r>
        <w:t>The request leaves out optional fields only where the schemas define a default or allow null. For example, WorkOrder.is_weather_exposed is inferred from exposure_type when omitted. The example does not include that optional field.</w:t>
      </w:r>
    </w:p>
    <w:p>
      <w:r>
        <w:br w:type="page"/>
      </w:r>
    </w:p>
    <w:p>
      <w:pPr>
        <w:pStyle w:val="Heading1"/>
      </w:pPr>
      <w:r>
        <w:t>Dataset fields</w:t>
      </w:r>
    </w:p>
    <w:p>
      <w:r>
        <w:t>PlanningDataset groups three lists. The list items are the existing WorkOrder, Worker, and Equipment models; they describe the resources and constraints available to the planning run.</w:t>
      </w:r>
    </w:p>
    <w:p>
      <w:pPr>
        <w:pStyle w:val="Heading2"/>
      </w:pPr>
      <w:r>
        <w:t>WorkOrder</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880"/>
            <w:vAlign w:val="center"/>
            <w:shd w:fill="245C4B"/>
          </w:tcPr>
          <w:p>
            <w:pPr>
              <w:spacing w:after="20" w:before="20"/>
            </w:pPr>
            <w:r/>
            <w:r>
              <w:rPr>
                <w:rFonts w:ascii="Arial" w:hAnsi="Arial"/>
                <w:b/>
                <w:color w:val="FFFFFF"/>
                <w:sz w:val="15"/>
              </w:rPr>
              <w:t>Field</w:t>
            </w:r>
          </w:p>
        </w:tc>
        <w:tc>
          <w:tcPr>
            <w:tcW w:type="dxa" w:w="7200"/>
            <w:vAlign w:val="center"/>
            <w:shd w:fill="245C4B"/>
          </w:tcPr>
          <w:p>
            <w:pPr>
              <w:spacing w:after="20" w:before="20"/>
            </w:pPr>
            <w:r/>
            <w:r>
              <w:rPr>
                <w:rFonts w:ascii="Arial" w:hAnsi="Arial"/>
                <w:b/>
                <w:color w:val="FFFFFF"/>
                <w:sz w:val="15"/>
              </w:rPr>
              <w:t>Meaning</w:t>
            </w:r>
          </w:p>
        </w:tc>
      </w:tr>
      <w:tr>
        <w:tc>
          <w:tcPr>
            <w:tcW w:type="dxa" w:w="2880"/>
            <w:vAlign w:val="center"/>
          </w:tcPr>
          <w:p>
            <w:pPr>
              <w:spacing w:after="20" w:before="20"/>
            </w:pPr>
            <w:r/>
            <w:r>
              <w:rPr>
                <w:rFonts w:ascii="Arial" w:hAnsi="Arial"/>
                <w:b/>
                <w:color w:val="23302C"/>
                <w:sz w:val="15"/>
              </w:rPr>
              <w:t>work_order_id, title</w:t>
            </w:r>
          </w:p>
        </w:tc>
        <w:tc>
          <w:tcPr>
            <w:tcW w:type="dxa" w:w="7200"/>
            <w:vAlign w:val="center"/>
          </w:tcPr>
          <w:p>
            <w:pPr>
              <w:spacing w:after="20" w:before="20"/>
            </w:pPr>
            <w:r/>
            <w:r>
              <w:rPr>
                <w:rFonts w:ascii="Arial" w:hAnsi="Arial"/>
                <w:b w:val="0"/>
                <w:color w:val="23302C"/>
                <w:sz w:val="15"/>
              </w:rPr>
              <w:t>Stable task identifier and readable task name.</w:t>
            </w:r>
          </w:p>
        </w:tc>
      </w:tr>
      <w:tr>
        <w:tc>
          <w:tcPr>
            <w:tcW w:type="dxa" w:w="2880"/>
            <w:vAlign w:val="center"/>
            <w:shd w:fill="F0F4F1"/>
          </w:tcPr>
          <w:p>
            <w:pPr>
              <w:spacing w:after="20" w:before="20"/>
            </w:pPr>
            <w:r/>
            <w:r>
              <w:rPr>
                <w:rFonts w:ascii="Arial" w:hAnsi="Arial"/>
                <w:b/>
                <w:color w:val="23302C"/>
                <w:sz w:val="15"/>
              </w:rPr>
              <w:t>duration_minutes, priority</w:t>
            </w:r>
          </w:p>
        </w:tc>
        <w:tc>
          <w:tcPr>
            <w:tcW w:type="dxa" w:w="7200"/>
            <w:vAlign w:val="center"/>
            <w:shd w:fill="F0F4F1"/>
          </w:tcPr>
          <w:p>
            <w:pPr>
              <w:spacing w:after="20" w:before="20"/>
            </w:pPr>
            <w:r/>
            <w:r>
              <w:rPr>
                <w:rFonts w:ascii="Arial" w:hAnsi="Arial"/>
                <w:b w:val="0"/>
                <w:color w:val="23302C"/>
                <w:sz w:val="15"/>
              </w:rPr>
              <w:t>Expected task duration and urgency: critical, high, medium, or low.</w:t>
            </w:r>
          </w:p>
        </w:tc>
      </w:tr>
      <w:tr>
        <w:tc>
          <w:tcPr>
            <w:tcW w:type="dxa" w:w="2880"/>
            <w:vAlign w:val="center"/>
          </w:tcPr>
          <w:p>
            <w:pPr>
              <w:spacing w:after="20" w:before="20"/>
            </w:pPr>
            <w:r/>
            <w:r>
              <w:rPr>
                <w:rFonts w:ascii="Arial" w:hAnsi="Arial"/>
                <w:b/>
                <w:color w:val="23302C"/>
                <w:sz w:val="15"/>
              </w:rPr>
              <w:t>site_id</w:t>
            </w:r>
          </w:p>
        </w:tc>
        <w:tc>
          <w:tcPr>
            <w:tcW w:type="dxa" w:w="7200"/>
            <w:vAlign w:val="center"/>
          </w:tcPr>
          <w:p>
            <w:pPr>
              <w:spacing w:after="20" w:before="20"/>
            </w:pPr>
            <w:r/>
            <w:r>
              <w:rPr>
                <w:rFonts w:ascii="Arial" w:hAnsi="Arial"/>
                <w:b w:val="0"/>
                <w:color w:val="23302C"/>
                <w:sz w:val="15"/>
              </w:rPr>
              <w:t>Site where the task takes place.</w:t>
            </w:r>
          </w:p>
        </w:tc>
      </w:tr>
      <w:tr>
        <w:tc>
          <w:tcPr>
            <w:tcW w:type="dxa" w:w="2880"/>
            <w:vAlign w:val="center"/>
            <w:shd w:fill="F0F4F1"/>
          </w:tcPr>
          <w:p>
            <w:pPr>
              <w:spacing w:after="20" w:before="20"/>
            </w:pPr>
            <w:r/>
            <w:r>
              <w:rPr>
                <w:rFonts w:ascii="Arial" w:hAnsi="Arial"/>
                <w:b/>
                <w:color w:val="23302C"/>
                <w:sz w:val="15"/>
              </w:rPr>
              <w:t>required_skills, required_certifications</w:t>
            </w:r>
          </w:p>
        </w:tc>
        <w:tc>
          <w:tcPr>
            <w:tcW w:type="dxa" w:w="7200"/>
            <w:vAlign w:val="center"/>
            <w:shd w:fill="F0F4F1"/>
          </w:tcPr>
          <w:p>
            <w:pPr>
              <w:spacing w:after="20" w:before="20"/>
            </w:pPr>
            <w:r/>
            <w:r>
              <w:rPr>
                <w:rFonts w:ascii="Arial" w:hAnsi="Arial"/>
                <w:b w:val="0"/>
                <w:color w:val="23302C"/>
                <w:sz w:val="15"/>
              </w:rPr>
              <w:t>Qualifications needed to perform the task.</w:t>
            </w:r>
          </w:p>
        </w:tc>
      </w:tr>
      <w:tr>
        <w:tc>
          <w:tcPr>
            <w:tcW w:type="dxa" w:w="2880"/>
            <w:vAlign w:val="center"/>
          </w:tcPr>
          <w:p>
            <w:pPr>
              <w:spacing w:after="20" w:before="20"/>
            </w:pPr>
            <w:r/>
            <w:r>
              <w:rPr>
                <w:rFonts w:ascii="Arial" w:hAnsi="Arial"/>
                <w:b/>
                <w:color w:val="23302C"/>
                <w:sz w:val="15"/>
              </w:rPr>
              <w:t>min_crew_size, max_crew_size</w:t>
            </w:r>
          </w:p>
        </w:tc>
        <w:tc>
          <w:tcPr>
            <w:tcW w:type="dxa" w:w="7200"/>
            <w:vAlign w:val="center"/>
          </w:tcPr>
          <w:p>
            <w:pPr>
              <w:spacing w:after="20" w:before="20"/>
            </w:pPr>
            <w:r/>
            <w:r>
              <w:rPr>
                <w:rFonts w:ascii="Arial" w:hAnsi="Arial"/>
                <w:b w:val="0"/>
                <w:color w:val="23302C"/>
                <w:sz w:val="15"/>
              </w:rPr>
              <w:t>Allowed crew-size range; maximum cannot be below minimum.</w:t>
            </w:r>
          </w:p>
        </w:tc>
      </w:tr>
      <w:tr>
        <w:tc>
          <w:tcPr>
            <w:tcW w:type="dxa" w:w="2880"/>
            <w:vAlign w:val="center"/>
            <w:shd w:fill="F0F4F1"/>
          </w:tcPr>
          <w:p>
            <w:pPr>
              <w:spacing w:after="20" w:before="20"/>
            </w:pPr>
            <w:r/>
            <w:r>
              <w:rPr>
                <w:rFonts w:ascii="Arial" w:hAnsi="Arial"/>
                <w:b/>
                <w:color w:val="23302C"/>
                <w:sz w:val="15"/>
              </w:rPr>
              <w:t>depends_on</w:t>
            </w:r>
          </w:p>
        </w:tc>
        <w:tc>
          <w:tcPr>
            <w:tcW w:type="dxa" w:w="7200"/>
            <w:vAlign w:val="center"/>
            <w:shd w:fill="F0F4F1"/>
          </w:tcPr>
          <w:p>
            <w:pPr>
              <w:spacing w:after="20" w:before="20"/>
            </w:pPr>
            <w:r/>
            <w:r>
              <w:rPr>
                <w:rFonts w:ascii="Arial" w:hAnsi="Arial"/>
                <w:b w:val="0"/>
                <w:color w:val="23302C"/>
                <w:sz w:val="15"/>
              </w:rPr>
              <w:t>Work-order IDs that must precede this task.</w:t>
            </w:r>
          </w:p>
        </w:tc>
      </w:tr>
      <w:tr>
        <w:tc>
          <w:tcPr>
            <w:tcW w:type="dxa" w:w="2880"/>
            <w:vAlign w:val="center"/>
          </w:tcPr>
          <w:p>
            <w:pPr>
              <w:spacing w:after="20" w:before="20"/>
            </w:pPr>
            <w:r/>
            <w:r>
              <w:rPr>
                <w:rFonts w:ascii="Arial" w:hAnsi="Arial"/>
                <w:b/>
                <w:color w:val="23302C"/>
                <w:sz w:val="15"/>
              </w:rPr>
              <w:t>required_equipment_ids</w:t>
            </w:r>
          </w:p>
        </w:tc>
        <w:tc>
          <w:tcPr>
            <w:tcW w:type="dxa" w:w="7200"/>
            <w:vAlign w:val="center"/>
          </w:tcPr>
          <w:p>
            <w:pPr>
              <w:spacing w:after="20" w:before="20"/>
            </w:pPr>
            <w:r/>
            <w:r>
              <w:rPr>
                <w:rFonts w:ascii="Arial" w:hAnsi="Arial"/>
                <w:b w:val="0"/>
                <w:color w:val="23302C"/>
                <w:sz w:val="15"/>
              </w:rPr>
              <w:t>Equipment IDs required by the task.</w:t>
            </w:r>
          </w:p>
        </w:tc>
      </w:tr>
      <w:tr>
        <w:tc>
          <w:tcPr>
            <w:tcW w:type="dxa" w:w="2880"/>
            <w:vAlign w:val="center"/>
            <w:shd w:fill="F0F4F1"/>
          </w:tcPr>
          <w:p>
            <w:pPr>
              <w:spacing w:after="20" w:before="20"/>
            </w:pPr>
            <w:r/>
            <w:r>
              <w:rPr>
                <w:rFonts w:ascii="Arial" w:hAnsi="Arial"/>
                <w:b/>
                <w:color w:val="23302C"/>
                <w:sz w:val="15"/>
              </w:rPr>
              <w:t>planning_window</w:t>
            </w:r>
          </w:p>
        </w:tc>
        <w:tc>
          <w:tcPr>
            <w:tcW w:type="dxa" w:w="7200"/>
            <w:vAlign w:val="center"/>
            <w:shd w:fill="F0F4F1"/>
          </w:tcPr>
          <w:p>
            <w:pPr>
              <w:spacing w:after="20" w:before="20"/>
            </w:pPr>
            <w:r/>
            <w:r>
              <w:rPr>
                <w:rFonts w:ascii="Arial" w:hAnsi="Arial"/>
                <w:b w:val="0"/>
                <w:color w:val="23302C"/>
                <w:sz w:val="15"/>
              </w:rPr>
              <w:t>Timezone-aware earliest/latest allowed interval for planning.</w:t>
            </w:r>
          </w:p>
        </w:tc>
      </w:tr>
      <w:tr>
        <w:tc>
          <w:tcPr>
            <w:tcW w:type="dxa" w:w="2880"/>
            <w:vAlign w:val="center"/>
          </w:tcPr>
          <w:p>
            <w:pPr>
              <w:spacing w:after="20" w:before="20"/>
            </w:pPr>
            <w:r/>
            <w:r>
              <w:rPr>
                <w:rFonts w:ascii="Arial" w:hAnsi="Arial"/>
                <w:b/>
                <w:color w:val="23302C"/>
                <w:sz w:val="15"/>
              </w:rPr>
              <w:t>deadline</w:t>
            </w:r>
          </w:p>
        </w:tc>
        <w:tc>
          <w:tcPr>
            <w:tcW w:type="dxa" w:w="7200"/>
            <w:vAlign w:val="center"/>
          </w:tcPr>
          <w:p>
            <w:pPr>
              <w:spacing w:after="20" w:before="20"/>
            </w:pPr>
            <w:r/>
            <w:r>
              <w:rPr>
                <w:rFonts w:ascii="Arial" w:hAnsi="Arial"/>
                <w:b w:val="0"/>
                <w:color w:val="23302C"/>
                <w:sz w:val="15"/>
              </w:rPr>
              <w:t>Optional timezone-aware due time.</w:t>
            </w:r>
          </w:p>
        </w:tc>
      </w:tr>
      <w:tr>
        <w:tc>
          <w:tcPr>
            <w:tcW w:type="dxa" w:w="2880"/>
            <w:vAlign w:val="center"/>
            <w:shd w:fill="F0F4F1"/>
          </w:tcPr>
          <w:p>
            <w:pPr>
              <w:spacing w:after="20" w:before="20"/>
            </w:pPr>
            <w:r/>
            <w:r>
              <w:rPr>
                <w:rFonts w:ascii="Arial" w:hAnsi="Arial"/>
                <w:b/>
                <w:color w:val="23302C"/>
                <w:sz w:val="15"/>
              </w:rPr>
              <w:t>exposure_type</w:t>
            </w:r>
          </w:p>
        </w:tc>
        <w:tc>
          <w:tcPr>
            <w:tcW w:type="dxa" w:w="7200"/>
            <w:vAlign w:val="center"/>
            <w:shd w:fill="F0F4F1"/>
          </w:tcPr>
          <w:p>
            <w:pPr>
              <w:spacing w:after="20" w:before="20"/>
            </w:pPr>
            <w:r/>
            <w:r>
              <w:rPr>
                <w:rFonts w:ascii="Arial" w:hAnsi="Arial"/>
                <w:b w:val="0"/>
                <w:color w:val="23302C"/>
                <w:sz w:val="15"/>
              </w:rPr>
              <w:t>Work hazard category, such as outdoor_heat or confined_space.</w:t>
            </w:r>
          </w:p>
        </w:tc>
      </w:tr>
      <w:tr>
        <w:tc>
          <w:tcPr>
            <w:tcW w:type="dxa" w:w="2880"/>
            <w:vAlign w:val="center"/>
          </w:tcPr>
          <w:p>
            <w:pPr>
              <w:spacing w:after="20" w:before="20"/>
            </w:pPr>
            <w:r/>
            <w:r>
              <w:rPr>
                <w:rFonts w:ascii="Arial" w:hAnsi="Arial"/>
                <w:b/>
                <w:color w:val="23302C"/>
                <w:sz w:val="15"/>
              </w:rPr>
              <w:t>expected_exposure_duration_minutes</w:t>
            </w:r>
          </w:p>
        </w:tc>
        <w:tc>
          <w:tcPr>
            <w:tcW w:type="dxa" w:w="7200"/>
            <w:vAlign w:val="center"/>
          </w:tcPr>
          <w:p>
            <w:pPr>
              <w:spacing w:after="20" w:before="20"/>
            </w:pPr>
            <w:r/>
            <w:r>
              <w:rPr>
                <w:rFonts w:ascii="Arial" w:hAnsi="Arial"/>
                <w:b w:val="0"/>
                <w:color w:val="23302C"/>
                <w:sz w:val="15"/>
              </w:rPr>
              <w:t>Expected exposure time; cannot exceed task duration.</w:t>
            </w:r>
          </w:p>
        </w:tc>
      </w:tr>
      <w:tr>
        <w:tc>
          <w:tcPr>
            <w:tcW w:type="dxa" w:w="2880"/>
            <w:vAlign w:val="center"/>
            <w:shd w:fill="F0F4F1"/>
          </w:tcPr>
          <w:p>
            <w:pPr>
              <w:spacing w:after="20" w:before="20"/>
            </w:pPr>
            <w:r/>
            <w:r>
              <w:rPr>
                <w:rFonts w:ascii="Arial" w:hAnsi="Arial"/>
                <w:b/>
                <w:color w:val="23302C"/>
                <w:sz w:val="15"/>
              </w:rPr>
              <w:t>exposure_windows</w:t>
            </w:r>
          </w:p>
        </w:tc>
        <w:tc>
          <w:tcPr>
            <w:tcW w:type="dxa" w:w="7200"/>
            <w:vAlign w:val="center"/>
            <w:shd w:fill="F0F4F1"/>
          </w:tcPr>
          <w:p>
            <w:pPr>
              <w:spacing w:after="20" w:before="20"/>
            </w:pPr>
            <w:r/>
            <w:r>
              <w:rPr>
                <w:rFonts w:ascii="Arial" w:hAnsi="Arial"/>
                <w:b w:val="0"/>
                <w:color w:val="23302C"/>
                <w:sz w:val="15"/>
              </w:rPr>
              <w:t>Optional intervals when exposure is expected.</w:t>
            </w:r>
          </w:p>
        </w:tc>
      </w:tr>
      <w:tr>
        <w:tc>
          <w:tcPr>
            <w:tcW w:type="dxa" w:w="2880"/>
            <w:vAlign w:val="center"/>
          </w:tcPr>
          <w:p>
            <w:pPr>
              <w:spacing w:after="20" w:before="20"/>
            </w:pPr>
            <w:r/>
            <w:r>
              <w:rPr>
                <w:rFonts w:ascii="Arial" w:hAnsi="Arial"/>
                <w:b/>
                <w:color w:val="23302C"/>
                <w:sz w:val="15"/>
              </w:rPr>
              <w:t>is_weather_exposed</w:t>
            </w:r>
          </w:p>
        </w:tc>
        <w:tc>
          <w:tcPr>
            <w:tcW w:type="dxa" w:w="7200"/>
            <w:vAlign w:val="center"/>
          </w:tcPr>
          <w:p>
            <w:pPr>
              <w:spacing w:after="20" w:before="20"/>
            </w:pPr>
            <w:r/>
            <w:r>
              <w:rPr>
                <w:rFonts w:ascii="Arial" w:hAnsi="Arial"/>
                <w:b w:val="0"/>
                <w:color w:val="23302C"/>
                <w:sz w:val="15"/>
              </w:rPr>
              <w:t>Optional explicit weather-exposure flag. Inferred from exposure_type when omitted.</w:t>
            </w:r>
          </w:p>
        </w:tc>
      </w:tr>
    </w:tbl>
    <w:p>
      <w:pPr>
        <w:spacing w:after="0"/>
      </w:pPr>
    </w:p>
    <w:p>
      <w:pPr>
        <w:pStyle w:val="Heading2"/>
      </w:pPr>
      <w:r>
        <w:t>Worker</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880"/>
            <w:vAlign w:val="center"/>
            <w:shd w:fill="245C4B"/>
          </w:tcPr>
          <w:p>
            <w:pPr>
              <w:spacing w:after="20" w:before="20"/>
            </w:pPr>
            <w:r/>
            <w:r>
              <w:rPr>
                <w:rFonts w:ascii="Arial" w:hAnsi="Arial"/>
                <w:b/>
                <w:color w:val="FFFFFF"/>
                <w:sz w:val="15"/>
              </w:rPr>
              <w:t>Field</w:t>
            </w:r>
          </w:p>
        </w:tc>
        <w:tc>
          <w:tcPr>
            <w:tcW w:type="dxa" w:w="7200"/>
            <w:vAlign w:val="center"/>
            <w:shd w:fill="245C4B"/>
          </w:tcPr>
          <w:p>
            <w:pPr>
              <w:spacing w:after="20" w:before="20"/>
            </w:pPr>
            <w:r/>
            <w:r>
              <w:rPr>
                <w:rFonts w:ascii="Arial" w:hAnsi="Arial"/>
                <w:b/>
                <w:color w:val="FFFFFF"/>
                <w:sz w:val="15"/>
              </w:rPr>
              <w:t>Meaning</w:t>
            </w:r>
          </w:p>
        </w:tc>
      </w:tr>
      <w:tr>
        <w:tc>
          <w:tcPr>
            <w:tcW w:type="dxa" w:w="2880"/>
            <w:vAlign w:val="center"/>
          </w:tcPr>
          <w:p>
            <w:pPr>
              <w:spacing w:after="20" w:before="20"/>
            </w:pPr>
            <w:r/>
            <w:r>
              <w:rPr>
                <w:rFonts w:ascii="Arial" w:hAnsi="Arial"/>
                <w:b/>
                <w:color w:val="23302C"/>
                <w:sz w:val="15"/>
              </w:rPr>
              <w:t>worker_id, name</w:t>
            </w:r>
          </w:p>
        </w:tc>
        <w:tc>
          <w:tcPr>
            <w:tcW w:type="dxa" w:w="7200"/>
            <w:vAlign w:val="center"/>
          </w:tcPr>
          <w:p>
            <w:pPr>
              <w:spacing w:after="20" w:before="20"/>
            </w:pPr>
            <w:r/>
            <w:r>
              <w:rPr>
                <w:rFonts w:ascii="Arial" w:hAnsi="Arial"/>
                <w:b w:val="0"/>
                <w:color w:val="23302C"/>
                <w:sz w:val="15"/>
              </w:rPr>
              <w:t>Stable worker identifier and display name.</w:t>
            </w:r>
          </w:p>
        </w:tc>
      </w:tr>
      <w:tr>
        <w:tc>
          <w:tcPr>
            <w:tcW w:type="dxa" w:w="2880"/>
            <w:vAlign w:val="center"/>
            <w:shd w:fill="F0F4F1"/>
          </w:tcPr>
          <w:p>
            <w:pPr>
              <w:spacing w:after="20" w:before="20"/>
            </w:pPr>
            <w:r/>
            <w:r>
              <w:rPr>
                <w:rFonts w:ascii="Arial" w:hAnsi="Arial"/>
                <w:b/>
                <w:color w:val="23302C"/>
                <w:sz w:val="15"/>
              </w:rPr>
              <w:t>skills, certifications</w:t>
            </w:r>
          </w:p>
        </w:tc>
        <w:tc>
          <w:tcPr>
            <w:tcW w:type="dxa" w:w="7200"/>
            <w:vAlign w:val="center"/>
            <w:shd w:fill="F0F4F1"/>
          </w:tcPr>
          <w:p>
            <w:pPr>
              <w:spacing w:after="20" w:before="20"/>
            </w:pPr>
            <w:r/>
            <w:r>
              <w:rPr>
                <w:rFonts w:ascii="Arial" w:hAnsi="Arial"/>
                <w:b w:val="0"/>
                <w:color w:val="23302C"/>
                <w:sz w:val="15"/>
              </w:rPr>
              <w:t>Worker qualifications; certification may include a timezone-aware expiry.</w:t>
            </w:r>
          </w:p>
        </w:tc>
      </w:tr>
      <w:tr>
        <w:tc>
          <w:tcPr>
            <w:tcW w:type="dxa" w:w="2880"/>
            <w:vAlign w:val="center"/>
          </w:tcPr>
          <w:p>
            <w:pPr>
              <w:spacing w:after="20" w:before="20"/>
            </w:pPr>
            <w:r/>
            <w:r>
              <w:rPr>
                <w:rFonts w:ascii="Arial" w:hAnsi="Arial"/>
                <w:b/>
                <w:color w:val="23302C"/>
                <w:sz w:val="15"/>
              </w:rPr>
              <w:t>availability_windows</w:t>
            </w:r>
          </w:p>
        </w:tc>
        <w:tc>
          <w:tcPr>
            <w:tcW w:type="dxa" w:w="7200"/>
            <w:vAlign w:val="center"/>
          </w:tcPr>
          <w:p>
            <w:pPr>
              <w:spacing w:after="20" w:before="20"/>
            </w:pPr>
            <w:r/>
            <w:r>
              <w:rPr>
                <w:rFonts w:ascii="Arial" w:hAnsi="Arial"/>
                <w:b w:val="0"/>
                <w:color w:val="23302C"/>
                <w:sz w:val="15"/>
              </w:rPr>
              <w:t>One or more timezone-aware periods when the worker is available.</w:t>
            </w:r>
          </w:p>
        </w:tc>
      </w:tr>
      <w:tr>
        <w:tc>
          <w:tcPr>
            <w:tcW w:type="dxa" w:w="2880"/>
            <w:vAlign w:val="center"/>
            <w:shd w:fill="F0F4F1"/>
          </w:tcPr>
          <w:p>
            <w:pPr>
              <w:spacing w:after="20" w:before="20"/>
            </w:pPr>
            <w:r/>
            <w:r>
              <w:rPr>
                <w:rFonts w:ascii="Arial" w:hAnsi="Arial"/>
                <w:b/>
                <w:color w:val="23302C"/>
                <w:sz w:val="15"/>
              </w:rPr>
              <w:t>break_requirements</w:t>
            </w:r>
          </w:p>
        </w:tc>
        <w:tc>
          <w:tcPr>
            <w:tcW w:type="dxa" w:w="7200"/>
            <w:vAlign w:val="center"/>
            <w:shd w:fill="F0F4F1"/>
          </w:tcPr>
          <w:p>
            <w:pPr>
              <w:spacing w:after="20" w:before="20"/>
            </w:pPr>
            <w:r/>
            <w:r>
              <w:rPr>
                <w:rFonts w:ascii="Arial" w:hAnsi="Arial"/>
                <w:b w:val="0"/>
                <w:color w:val="23302C"/>
                <w:sz w:val="15"/>
              </w:rPr>
              <w:t>Minimum break length, maximum continuous work time, and cooling-break length, all in minutes.</w:t>
            </w:r>
          </w:p>
        </w:tc>
      </w:tr>
      <w:tr>
        <w:tc>
          <w:tcPr>
            <w:tcW w:type="dxa" w:w="2880"/>
            <w:vAlign w:val="center"/>
          </w:tcPr>
          <w:p>
            <w:pPr>
              <w:spacing w:after="20" w:before="20"/>
            </w:pPr>
            <w:r/>
            <w:r>
              <w:rPr>
                <w:rFonts w:ascii="Arial" w:hAnsi="Arial"/>
                <w:b/>
                <w:color w:val="23302C"/>
                <w:sz w:val="15"/>
              </w:rPr>
              <w:t>max_shift_duration_minutes</w:t>
            </w:r>
          </w:p>
        </w:tc>
        <w:tc>
          <w:tcPr>
            <w:tcW w:type="dxa" w:w="7200"/>
            <w:vAlign w:val="center"/>
          </w:tcPr>
          <w:p>
            <w:pPr>
              <w:spacing w:after="20" w:before="20"/>
            </w:pPr>
            <w:r/>
            <w:r>
              <w:rPr>
                <w:rFonts w:ascii="Arial" w:hAnsi="Arial"/>
                <w:b w:val="0"/>
                <w:color w:val="23302C"/>
                <w:sz w:val="15"/>
              </w:rPr>
              <w:t>Maximum allowed shift length in minutes.</w:t>
            </w:r>
          </w:p>
        </w:tc>
      </w:tr>
    </w:tbl>
    <w:p>
      <w:pPr>
        <w:spacing w:after="0"/>
      </w:pPr>
    </w:p>
    <w:p>
      <w:pPr>
        <w:pStyle w:val="Heading2"/>
      </w:pPr>
      <w:r>
        <w:t>Equipment</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880"/>
            <w:vAlign w:val="center"/>
            <w:shd w:fill="245C4B"/>
          </w:tcPr>
          <w:p>
            <w:pPr>
              <w:spacing w:after="20" w:before="20"/>
            </w:pPr>
            <w:r/>
            <w:r>
              <w:rPr>
                <w:rFonts w:ascii="Arial" w:hAnsi="Arial"/>
                <w:b/>
                <w:color w:val="FFFFFF"/>
                <w:sz w:val="15"/>
              </w:rPr>
              <w:t>Field</w:t>
            </w:r>
          </w:p>
        </w:tc>
        <w:tc>
          <w:tcPr>
            <w:tcW w:type="dxa" w:w="7200"/>
            <w:vAlign w:val="center"/>
            <w:shd w:fill="245C4B"/>
          </w:tcPr>
          <w:p>
            <w:pPr>
              <w:spacing w:after="20" w:before="20"/>
            </w:pPr>
            <w:r/>
            <w:r>
              <w:rPr>
                <w:rFonts w:ascii="Arial" w:hAnsi="Arial"/>
                <w:b/>
                <w:color w:val="FFFFFF"/>
                <w:sz w:val="15"/>
              </w:rPr>
              <w:t>Meaning</w:t>
            </w:r>
          </w:p>
        </w:tc>
      </w:tr>
      <w:tr>
        <w:tc>
          <w:tcPr>
            <w:tcW w:type="dxa" w:w="2880"/>
            <w:vAlign w:val="center"/>
          </w:tcPr>
          <w:p>
            <w:pPr>
              <w:spacing w:after="20" w:before="20"/>
            </w:pPr>
            <w:r/>
            <w:r>
              <w:rPr>
                <w:rFonts w:ascii="Arial" w:hAnsi="Arial"/>
                <w:b/>
                <w:color w:val="23302C"/>
                <w:sz w:val="15"/>
              </w:rPr>
              <w:t>equipment_id, equipment_type</w:t>
            </w:r>
          </w:p>
        </w:tc>
        <w:tc>
          <w:tcPr>
            <w:tcW w:type="dxa" w:w="7200"/>
            <w:vAlign w:val="center"/>
          </w:tcPr>
          <w:p>
            <w:pPr>
              <w:spacing w:after="20" w:before="20"/>
            </w:pPr>
            <w:r/>
            <w:r>
              <w:rPr>
                <w:rFonts w:ascii="Arial" w:hAnsi="Arial"/>
                <w:b w:val="0"/>
                <w:color w:val="23302C"/>
                <w:sz w:val="15"/>
              </w:rPr>
              <w:t>Stable equipment identifier and equipment category.</w:t>
            </w:r>
          </w:p>
        </w:tc>
      </w:tr>
      <w:tr>
        <w:tc>
          <w:tcPr>
            <w:tcW w:type="dxa" w:w="2880"/>
            <w:vAlign w:val="center"/>
            <w:shd w:fill="F0F4F1"/>
          </w:tcPr>
          <w:p>
            <w:pPr>
              <w:spacing w:after="20" w:before="20"/>
            </w:pPr>
            <w:r/>
            <w:r>
              <w:rPr>
                <w:rFonts w:ascii="Arial" w:hAnsi="Arial"/>
                <w:b/>
                <w:color w:val="23302C"/>
                <w:sz w:val="15"/>
              </w:rPr>
              <w:t>availability_windows</w:t>
            </w:r>
          </w:p>
        </w:tc>
        <w:tc>
          <w:tcPr>
            <w:tcW w:type="dxa" w:w="7200"/>
            <w:vAlign w:val="center"/>
            <w:shd w:fill="F0F4F1"/>
          </w:tcPr>
          <w:p>
            <w:pPr>
              <w:spacing w:after="20" w:before="20"/>
            </w:pPr>
            <w:r/>
            <w:r>
              <w:rPr>
                <w:rFonts w:ascii="Arial" w:hAnsi="Arial"/>
                <w:b w:val="0"/>
                <w:color w:val="23302C"/>
                <w:sz w:val="15"/>
              </w:rPr>
              <w:t>Timezone-aware periods when the equipment is available.</w:t>
            </w:r>
          </w:p>
        </w:tc>
      </w:tr>
      <w:tr>
        <w:tc>
          <w:tcPr>
            <w:tcW w:type="dxa" w:w="2880"/>
            <w:vAlign w:val="center"/>
          </w:tcPr>
          <w:p>
            <w:pPr>
              <w:spacing w:after="20" w:before="20"/>
            </w:pPr>
            <w:r/>
            <w:r>
              <w:rPr>
                <w:rFonts w:ascii="Arial" w:hAnsi="Arial"/>
                <w:b/>
                <w:color w:val="23302C"/>
                <w:sz w:val="15"/>
              </w:rPr>
              <w:t>operational_status</w:t>
            </w:r>
          </w:p>
        </w:tc>
        <w:tc>
          <w:tcPr>
            <w:tcW w:type="dxa" w:w="7200"/>
            <w:vAlign w:val="center"/>
          </w:tcPr>
          <w:p>
            <w:pPr>
              <w:spacing w:after="20" w:before="20"/>
            </w:pPr>
            <w:r/>
            <w:r>
              <w:rPr>
                <w:rFonts w:ascii="Arial" w:hAnsi="Arial"/>
                <w:b w:val="0"/>
                <w:color w:val="23302C"/>
                <w:sz w:val="15"/>
              </w:rPr>
              <w:t>Current state, such as available, in_use, maintenance, or out_of_service.</w:t>
            </w:r>
          </w:p>
        </w:tc>
      </w:tr>
      <w:tr>
        <w:tc>
          <w:tcPr>
            <w:tcW w:type="dxa" w:w="2880"/>
            <w:vAlign w:val="center"/>
            <w:shd w:fill="F0F4F1"/>
          </w:tcPr>
          <w:p>
            <w:pPr>
              <w:spacing w:after="20" w:before="20"/>
            </w:pPr>
            <w:r/>
            <w:r>
              <w:rPr>
                <w:rFonts w:ascii="Arial" w:hAnsi="Arial"/>
                <w:b/>
                <w:color w:val="23302C"/>
                <w:sz w:val="15"/>
              </w:rPr>
              <w:t>compatible_task_types</w:t>
            </w:r>
          </w:p>
        </w:tc>
        <w:tc>
          <w:tcPr>
            <w:tcW w:type="dxa" w:w="7200"/>
            <w:vAlign w:val="center"/>
            <w:shd w:fill="F0F4F1"/>
          </w:tcPr>
          <w:p>
            <w:pPr>
              <w:spacing w:after="20" w:before="20"/>
            </w:pPr>
            <w:r/>
            <w:r>
              <w:rPr>
                <w:rFonts w:ascii="Arial" w:hAnsi="Arial"/>
                <w:b w:val="0"/>
                <w:color w:val="23302C"/>
                <w:sz w:val="15"/>
              </w:rPr>
              <w:t>Task categories this equipment can support.</w:t>
            </w:r>
          </w:p>
        </w:tc>
      </w:tr>
      <w:tr>
        <w:tc>
          <w:tcPr>
            <w:tcW w:type="dxa" w:w="2880"/>
            <w:vAlign w:val="center"/>
          </w:tcPr>
          <w:p>
            <w:pPr>
              <w:spacing w:after="20" w:before="20"/>
            </w:pPr>
            <w:r/>
            <w:r>
              <w:rPr>
                <w:rFonts w:ascii="Arial" w:hAnsi="Arial"/>
                <w:b/>
                <w:color w:val="23302C"/>
                <w:sz w:val="15"/>
              </w:rPr>
              <w:t>inspection_valid_until</w:t>
            </w:r>
          </w:p>
        </w:tc>
        <w:tc>
          <w:tcPr>
            <w:tcW w:type="dxa" w:w="7200"/>
            <w:vAlign w:val="center"/>
          </w:tcPr>
          <w:p>
            <w:pPr>
              <w:spacing w:after="20" w:before="20"/>
            </w:pPr>
            <w:r/>
            <w:r>
              <w:rPr>
                <w:rFonts w:ascii="Arial" w:hAnsi="Arial"/>
                <w:b w:val="0"/>
                <w:color w:val="23302C"/>
                <w:sz w:val="15"/>
              </w:rPr>
              <w:t>Optional timezone-aware inspection expiry.</w:t>
            </w:r>
          </w:p>
        </w:tc>
      </w:tr>
      <w:tr>
        <w:tc>
          <w:tcPr>
            <w:tcW w:type="dxa" w:w="2880"/>
            <w:vAlign w:val="center"/>
            <w:shd w:fill="F0F4F1"/>
          </w:tcPr>
          <w:p>
            <w:pPr>
              <w:spacing w:after="20" w:before="20"/>
            </w:pPr>
            <w:r/>
            <w:r>
              <w:rPr>
                <w:rFonts w:ascii="Arial" w:hAnsi="Arial"/>
                <w:b/>
                <w:color w:val="23302C"/>
                <w:sz w:val="15"/>
              </w:rPr>
              <w:t>site_id</w:t>
            </w:r>
          </w:p>
        </w:tc>
        <w:tc>
          <w:tcPr>
            <w:tcW w:type="dxa" w:w="7200"/>
            <w:vAlign w:val="center"/>
            <w:shd w:fill="F0F4F1"/>
          </w:tcPr>
          <w:p>
            <w:pPr>
              <w:spacing w:after="20" w:before="20"/>
            </w:pPr>
            <w:r/>
            <w:r>
              <w:rPr>
                <w:rFonts w:ascii="Arial" w:hAnsi="Arial"/>
                <w:b w:val="0"/>
                <w:color w:val="23302C"/>
                <w:sz w:val="15"/>
              </w:rPr>
              <w:t>Optional home or assigned site for the equipment.</w:t>
            </w:r>
          </w:p>
        </w:tc>
      </w:tr>
    </w:tbl>
    <w:p>
      <w:pPr>
        <w:spacing w:after="0"/>
      </w:pPr>
    </w:p>
    <w:p>
      <w:r>
        <w:br w:type="page"/>
      </w:r>
    </w:p>
    <w:p>
      <w:pPr>
        <w:pStyle w:val="Heading1"/>
      </w:pPr>
      <w:r>
        <w:t>Schedule and snapshot fields</w:t>
      </w:r>
    </w:p>
    <w:p>
      <w:pPr>
        <w:pStyle w:val="Heading2"/>
      </w:pPr>
      <w:r>
        <w:t>ScheduleAssignment</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880"/>
            <w:vAlign w:val="center"/>
            <w:shd w:fill="245C4B"/>
          </w:tcPr>
          <w:p>
            <w:pPr>
              <w:spacing w:after="20" w:before="20"/>
            </w:pPr>
            <w:r/>
            <w:r>
              <w:rPr>
                <w:rFonts w:ascii="Arial" w:hAnsi="Arial"/>
                <w:b/>
                <w:color w:val="FFFFFF"/>
                <w:sz w:val="16"/>
              </w:rPr>
              <w:t>Field</w:t>
            </w:r>
          </w:p>
        </w:tc>
        <w:tc>
          <w:tcPr>
            <w:tcW w:type="dxa" w:w="7200"/>
            <w:vAlign w:val="center"/>
            <w:shd w:fill="245C4B"/>
          </w:tcPr>
          <w:p>
            <w:pPr>
              <w:spacing w:after="20" w:before="20"/>
            </w:pPr>
            <w:r/>
            <w:r>
              <w:rPr>
                <w:rFonts w:ascii="Arial" w:hAnsi="Arial"/>
                <w:b/>
                <w:color w:val="FFFFFF"/>
                <w:sz w:val="16"/>
              </w:rPr>
              <w:t>Meaning</w:t>
            </w:r>
          </w:p>
        </w:tc>
      </w:tr>
      <w:tr>
        <w:tc>
          <w:tcPr>
            <w:tcW w:type="dxa" w:w="2880"/>
            <w:vAlign w:val="center"/>
          </w:tcPr>
          <w:p>
            <w:pPr>
              <w:spacing w:after="20" w:before="20"/>
            </w:pPr>
            <w:r/>
            <w:r>
              <w:rPr>
                <w:rFonts w:ascii="Arial" w:hAnsi="Arial"/>
                <w:b/>
                <w:color w:val="23302C"/>
                <w:sz w:val="16"/>
              </w:rPr>
              <w:t>assignment_id</w:t>
            </w:r>
          </w:p>
        </w:tc>
        <w:tc>
          <w:tcPr>
            <w:tcW w:type="dxa" w:w="7200"/>
            <w:vAlign w:val="center"/>
          </w:tcPr>
          <w:p>
            <w:pPr>
              <w:spacing w:after="20" w:before="20"/>
            </w:pPr>
            <w:r/>
            <w:r>
              <w:rPr>
                <w:rFonts w:ascii="Arial" w:hAnsi="Arial"/>
                <w:b w:val="0"/>
                <w:color w:val="23302C"/>
                <w:sz w:val="16"/>
              </w:rPr>
              <w:t>Unique identifier for this scheduled task instance.</w:t>
            </w:r>
          </w:p>
        </w:tc>
      </w:tr>
      <w:tr>
        <w:tc>
          <w:tcPr>
            <w:tcW w:type="dxa" w:w="2880"/>
            <w:vAlign w:val="center"/>
            <w:shd w:fill="F0F4F1"/>
          </w:tcPr>
          <w:p>
            <w:pPr>
              <w:spacing w:after="20" w:before="20"/>
            </w:pPr>
            <w:r/>
            <w:r>
              <w:rPr>
                <w:rFonts w:ascii="Arial" w:hAnsi="Arial"/>
                <w:b/>
                <w:color w:val="23302C"/>
                <w:sz w:val="16"/>
              </w:rPr>
              <w:t>work_order_id, site_id</w:t>
            </w:r>
          </w:p>
        </w:tc>
        <w:tc>
          <w:tcPr>
            <w:tcW w:type="dxa" w:w="7200"/>
            <w:vAlign w:val="center"/>
            <w:shd w:fill="F0F4F1"/>
          </w:tcPr>
          <w:p>
            <w:pPr>
              <w:spacing w:after="20" w:before="20"/>
            </w:pPr>
            <w:r/>
            <w:r>
              <w:rPr>
                <w:rFonts w:ascii="Arial" w:hAnsi="Arial"/>
                <w:b w:val="0"/>
                <w:color w:val="23302C"/>
                <w:sz w:val="16"/>
              </w:rPr>
              <w:t>Task and site this assignment belongs to.</w:t>
            </w:r>
          </w:p>
        </w:tc>
      </w:tr>
      <w:tr>
        <w:tc>
          <w:tcPr>
            <w:tcW w:type="dxa" w:w="2880"/>
            <w:vAlign w:val="center"/>
          </w:tcPr>
          <w:p>
            <w:pPr>
              <w:spacing w:after="20" w:before="20"/>
            </w:pPr>
            <w:r/>
            <w:r>
              <w:rPr>
                <w:rFonts w:ascii="Arial" w:hAnsi="Arial"/>
                <w:b/>
                <w:color w:val="23302C"/>
                <w:sz w:val="16"/>
              </w:rPr>
              <w:t>worker_ids, equipment_ids</w:t>
            </w:r>
          </w:p>
        </w:tc>
        <w:tc>
          <w:tcPr>
            <w:tcW w:type="dxa" w:w="7200"/>
            <w:vAlign w:val="center"/>
          </w:tcPr>
          <w:p>
            <w:pPr>
              <w:spacing w:after="20" w:before="20"/>
            </w:pPr>
            <w:r/>
            <w:r>
              <w:rPr>
                <w:rFonts w:ascii="Arial" w:hAnsi="Arial"/>
                <w:b w:val="0"/>
                <w:color w:val="23302C"/>
                <w:sz w:val="16"/>
              </w:rPr>
              <w:t>Worker and equipment identifiers allocated to the task.</w:t>
            </w:r>
          </w:p>
        </w:tc>
      </w:tr>
      <w:tr>
        <w:tc>
          <w:tcPr>
            <w:tcW w:type="dxa" w:w="2880"/>
            <w:vAlign w:val="center"/>
            <w:shd w:fill="F0F4F1"/>
          </w:tcPr>
          <w:p>
            <w:pPr>
              <w:spacing w:after="20" w:before="20"/>
            </w:pPr>
            <w:r/>
            <w:r>
              <w:rPr>
                <w:rFonts w:ascii="Arial" w:hAnsi="Arial"/>
                <w:b/>
                <w:color w:val="23302C"/>
                <w:sz w:val="16"/>
              </w:rPr>
              <w:t>scheduled_window</w:t>
            </w:r>
          </w:p>
        </w:tc>
        <w:tc>
          <w:tcPr>
            <w:tcW w:type="dxa" w:w="7200"/>
            <w:vAlign w:val="center"/>
            <w:shd w:fill="F0F4F1"/>
          </w:tcPr>
          <w:p>
            <w:pPr>
              <w:spacing w:after="20" w:before="20"/>
            </w:pPr>
            <w:r/>
            <w:r>
              <w:rPr>
                <w:rFonts w:ascii="Arial" w:hAnsi="Arial"/>
                <w:b w:val="0"/>
                <w:color w:val="23302C"/>
                <w:sz w:val="16"/>
              </w:rPr>
              <w:t>Timezone-aware start and end of the scheduled interval.</w:t>
            </w:r>
          </w:p>
        </w:tc>
      </w:tr>
      <w:tr>
        <w:tc>
          <w:tcPr>
            <w:tcW w:type="dxa" w:w="2880"/>
            <w:vAlign w:val="center"/>
          </w:tcPr>
          <w:p>
            <w:pPr>
              <w:spacing w:after="20" w:before="20"/>
            </w:pPr>
            <w:r/>
            <w:r>
              <w:rPr>
                <w:rFonts w:ascii="Arial" w:hAnsi="Arial"/>
                <w:b/>
                <w:color w:val="23302C"/>
                <w:sz w:val="16"/>
              </w:rPr>
              <w:t>cooling_breaks</w:t>
            </w:r>
          </w:p>
        </w:tc>
        <w:tc>
          <w:tcPr>
            <w:tcW w:type="dxa" w:w="7200"/>
            <w:vAlign w:val="center"/>
          </w:tcPr>
          <w:p>
            <w:pPr>
              <w:spacing w:after="20" w:before="20"/>
            </w:pPr>
            <w:r/>
            <w:r>
              <w:rPr>
                <w:rFonts w:ascii="Arial" w:hAnsi="Arial"/>
                <w:b w:val="0"/>
                <w:color w:val="23302C"/>
                <w:sz w:val="16"/>
              </w:rPr>
              <w:t>Break intervals and the reason for each break. Empty list means none are recorded.</w:t>
            </w:r>
          </w:p>
        </w:tc>
      </w:tr>
      <w:tr>
        <w:tc>
          <w:tcPr>
            <w:tcW w:type="dxa" w:w="2880"/>
            <w:vAlign w:val="center"/>
            <w:shd w:fill="F0F4F1"/>
          </w:tcPr>
          <w:p>
            <w:pPr>
              <w:spacing w:after="20" w:before="20"/>
            </w:pPr>
            <w:r/>
            <w:r>
              <w:rPr>
                <w:rFonts w:ascii="Arial" w:hAnsi="Arial"/>
                <w:b/>
                <w:color w:val="23302C"/>
                <w:sz w:val="16"/>
              </w:rPr>
              <w:t>decision</w:t>
            </w:r>
          </w:p>
        </w:tc>
        <w:tc>
          <w:tcPr>
            <w:tcW w:type="dxa" w:w="7200"/>
            <w:vAlign w:val="center"/>
            <w:shd w:fill="F0F4F1"/>
          </w:tcPr>
          <w:p>
            <w:pPr>
              <w:spacing w:after="20" w:before="20"/>
            </w:pPr>
            <w:r/>
            <w:r>
              <w:rPr>
                <w:rFonts w:ascii="Arial" w:hAnsi="Arial"/>
                <w:b w:val="0"/>
                <w:color w:val="23302C"/>
                <w:sz w:val="16"/>
              </w:rPr>
              <w:t>Schedule decision: proceed, reschedule, extra_breaks, or blocked.</w:t>
            </w:r>
          </w:p>
        </w:tc>
      </w:tr>
      <w:tr>
        <w:tc>
          <w:tcPr>
            <w:tcW w:type="dxa" w:w="2880"/>
            <w:vAlign w:val="center"/>
          </w:tcPr>
          <w:p>
            <w:pPr>
              <w:spacing w:after="20" w:before="20"/>
            </w:pPr>
            <w:r/>
            <w:r>
              <w:rPr>
                <w:rFonts w:ascii="Arial" w:hAnsi="Arial"/>
                <w:b/>
                <w:color w:val="23302C"/>
                <w:sz w:val="16"/>
              </w:rPr>
              <w:t>rationale</w:t>
            </w:r>
          </w:p>
        </w:tc>
        <w:tc>
          <w:tcPr>
            <w:tcW w:type="dxa" w:w="7200"/>
            <w:vAlign w:val="center"/>
          </w:tcPr>
          <w:p>
            <w:pPr>
              <w:spacing w:after="20" w:before="20"/>
            </w:pPr>
            <w:r/>
            <w:r>
              <w:rPr>
                <w:rFonts w:ascii="Arial" w:hAnsi="Arial"/>
                <w:b w:val="0"/>
                <w:color w:val="23302C"/>
                <w:sz w:val="16"/>
              </w:rPr>
              <w:t>Short explanation for the decision in this source schedule.</w:t>
            </w:r>
          </w:p>
        </w:tc>
      </w:tr>
    </w:tbl>
    <w:p>
      <w:pPr>
        <w:spacing w:after="0"/>
      </w:pPr>
    </w:p>
    <w:p>
      <w:pPr>
        <w:pStyle w:val="Heading2"/>
      </w:pPr>
      <w:r>
        <w:t>Other records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3600"/>
            <w:vAlign w:val="center"/>
            <w:shd w:fill="245C4B"/>
          </w:tcPr>
          <w:p>
            <w:pPr>
              <w:spacing w:after="20" w:before="20"/>
            </w:pPr>
            <w:r/>
            <w:r>
              <w:rPr>
                <w:rFonts w:ascii="Arial" w:hAnsi="Arial"/>
                <w:b/>
                <w:color w:val="FFFFFF"/>
                <w:sz w:val="16"/>
              </w:rPr>
              <w:t>Schema / field</w:t>
            </w:r>
          </w:p>
        </w:tc>
        <w:tc>
          <w:tcPr>
            <w:tcW w:type="dxa" w:w="6480"/>
            <w:vAlign w:val="center"/>
            <w:shd w:fill="245C4B"/>
          </w:tcPr>
          <w:p>
            <w:pPr>
              <w:spacing w:after="20" w:before="20"/>
            </w:pPr>
            <w:r/>
            <w:r>
              <w:rPr>
                <w:rFonts w:ascii="Arial" w:hAnsi="Arial"/>
                <w:b/>
                <w:color w:val="FFFFFF"/>
                <w:sz w:val="16"/>
              </w:rPr>
              <w:t>Meaning</w:t>
            </w:r>
          </w:p>
        </w:tc>
      </w:tr>
      <w:tr>
        <w:tc>
          <w:tcPr>
            <w:tcW w:type="dxa" w:w="3600"/>
            <w:vAlign w:val="center"/>
          </w:tcPr>
          <w:p>
            <w:pPr>
              <w:spacing w:after="20" w:before="20"/>
            </w:pPr>
            <w:r/>
            <w:r>
              <w:rPr>
                <w:rFonts w:ascii="Arial" w:hAnsi="Arial"/>
                <w:b/>
                <w:color w:val="23302C"/>
                <w:sz w:val="16"/>
              </w:rPr>
              <w:t>UnscheduledWorkOrder.work_order_id</w:t>
            </w:r>
          </w:p>
        </w:tc>
        <w:tc>
          <w:tcPr>
            <w:tcW w:type="dxa" w:w="6480"/>
            <w:vAlign w:val="center"/>
          </w:tcPr>
          <w:p>
            <w:pPr>
              <w:spacing w:after="20" w:before="20"/>
            </w:pPr>
            <w:r/>
            <w:r>
              <w:rPr>
                <w:rFonts w:ascii="Arial" w:hAnsi="Arial"/>
                <w:b w:val="0"/>
                <w:color w:val="23302C"/>
                <w:sz w:val="16"/>
              </w:rPr>
              <w:t>Work order that has no assignment.</w:t>
            </w:r>
          </w:p>
        </w:tc>
      </w:tr>
      <w:tr>
        <w:tc>
          <w:tcPr>
            <w:tcW w:type="dxa" w:w="3600"/>
            <w:vAlign w:val="center"/>
            <w:shd w:fill="F0F4F1"/>
          </w:tcPr>
          <w:p>
            <w:pPr>
              <w:spacing w:after="20" w:before="20"/>
            </w:pPr>
            <w:r/>
            <w:r>
              <w:rPr>
                <w:rFonts w:ascii="Arial" w:hAnsi="Arial"/>
                <w:b/>
                <w:color w:val="23302C"/>
                <w:sz w:val="16"/>
              </w:rPr>
              <w:t>UnscheduledWorkOrder.reasons</w:t>
            </w:r>
          </w:p>
        </w:tc>
        <w:tc>
          <w:tcPr>
            <w:tcW w:type="dxa" w:w="6480"/>
            <w:vAlign w:val="center"/>
            <w:shd w:fill="F0F4F1"/>
          </w:tcPr>
          <w:p>
            <w:pPr>
              <w:spacing w:after="20" w:before="20"/>
            </w:pPr>
            <w:r/>
            <w:r>
              <w:rPr>
                <w:rFonts w:ascii="Arial" w:hAnsi="Arial"/>
                <w:b w:val="0"/>
                <w:color w:val="23302C"/>
                <w:sz w:val="16"/>
              </w:rPr>
              <w:t>One or more reasons it was not scheduled.</w:t>
            </w:r>
          </w:p>
        </w:tc>
      </w:tr>
      <w:tr>
        <w:tc>
          <w:tcPr>
            <w:tcW w:type="dxa" w:w="3600"/>
            <w:vAlign w:val="center"/>
          </w:tcPr>
          <w:p>
            <w:pPr>
              <w:spacing w:after="20" w:before="20"/>
            </w:pPr>
            <w:r/>
            <w:r>
              <w:rPr>
                <w:rFonts w:ascii="Arial" w:hAnsi="Arial"/>
                <w:b/>
                <w:color w:val="23302C"/>
                <w:sz w:val="16"/>
              </w:rPr>
              <w:t>BaselineSnapshot.snapshot_id</w:t>
            </w:r>
          </w:p>
        </w:tc>
        <w:tc>
          <w:tcPr>
            <w:tcW w:type="dxa" w:w="6480"/>
            <w:vAlign w:val="center"/>
          </w:tcPr>
          <w:p>
            <w:pPr>
              <w:spacing w:after="20" w:before="20"/>
            </w:pPr>
            <w:r/>
            <w:r>
              <w:rPr>
                <w:rFonts w:ascii="Arial" w:hAnsi="Arial"/>
                <w:b w:val="0"/>
                <w:color w:val="23302C"/>
                <w:sz w:val="16"/>
              </w:rPr>
              <w:t>Unique identifier for the captured snapshot.</w:t>
            </w:r>
          </w:p>
        </w:tc>
      </w:tr>
      <w:tr>
        <w:tc>
          <w:tcPr>
            <w:tcW w:type="dxa" w:w="3600"/>
            <w:vAlign w:val="center"/>
            <w:shd w:fill="F0F4F1"/>
          </w:tcPr>
          <w:p>
            <w:pPr>
              <w:spacing w:after="20" w:before="20"/>
            </w:pPr>
            <w:r/>
            <w:r>
              <w:rPr>
                <w:rFonts w:ascii="Arial" w:hAnsi="Arial"/>
                <w:b/>
                <w:color w:val="23302C"/>
                <w:sz w:val="16"/>
              </w:rPr>
              <w:t>BaselineSnapshot.planning_run_id</w:t>
            </w:r>
          </w:p>
        </w:tc>
        <w:tc>
          <w:tcPr>
            <w:tcW w:type="dxa" w:w="6480"/>
            <w:vAlign w:val="center"/>
            <w:shd w:fill="F0F4F1"/>
          </w:tcPr>
          <w:p>
            <w:pPr>
              <w:spacing w:after="20" w:before="20"/>
            </w:pPr>
            <w:r/>
            <w:r>
              <w:rPr>
                <w:rFonts w:ascii="Arial" w:hAnsi="Arial"/>
                <w:b w:val="0"/>
                <w:color w:val="23302C"/>
                <w:sz w:val="16"/>
              </w:rPr>
              <w:t>Run ID that owns the snapshot.</w:t>
            </w:r>
          </w:p>
        </w:tc>
      </w:tr>
      <w:tr>
        <w:tc>
          <w:tcPr>
            <w:tcW w:type="dxa" w:w="3600"/>
            <w:vAlign w:val="center"/>
          </w:tcPr>
          <w:p>
            <w:pPr>
              <w:spacing w:after="20" w:before="20"/>
            </w:pPr>
            <w:r/>
            <w:r>
              <w:rPr>
                <w:rFonts w:ascii="Arial" w:hAnsi="Arial"/>
                <w:b/>
                <w:color w:val="23302C"/>
                <w:sz w:val="16"/>
              </w:rPr>
              <w:t>BaselineSnapshot.captured_at</w:t>
            </w:r>
          </w:p>
        </w:tc>
        <w:tc>
          <w:tcPr>
            <w:tcW w:type="dxa" w:w="6480"/>
            <w:vAlign w:val="center"/>
          </w:tcPr>
          <w:p>
            <w:pPr>
              <w:spacing w:after="20" w:before="20"/>
            </w:pPr>
            <w:r/>
            <w:r>
              <w:rPr>
                <w:rFonts w:ascii="Arial" w:hAnsi="Arial"/>
                <w:b w:val="0"/>
                <w:color w:val="23302C"/>
                <w:sz w:val="16"/>
              </w:rPr>
              <w:t>Timezone-aware time the baseline was stored.</w:t>
            </w:r>
          </w:p>
        </w:tc>
      </w:tr>
      <w:tr>
        <w:tc>
          <w:tcPr>
            <w:tcW w:type="dxa" w:w="3600"/>
            <w:vAlign w:val="center"/>
            <w:shd w:fill="F0F4F1"/>
          </w:tcPr>
          <w:p>
            <w:pPr>
              <w:spacing w:after="20" w:before="20"/>
            </w:pPr>
            <w:r/>
            <w:r>
              <w:rPr>
                <w:rFonts w:ascii="Arial" w:hAnsi="Arial"/>
                <w:b/>
                <w:color w:val="23302C"/>
                <w:sz w:val="16"/>
              </w:rPr>
              <w:t>BaselineSnapshot.dataset</w:t>
            </w:r>
          </w:p>
        </w:tc>
        <w:tc>
          <w:tcPr>
            <w:tcW w:type="dxa" w:w="6480"/>
            <w:vAlign w:val="center"/>
            <w:shd w:fill="F0F4F1"/>
          </w:tcPr>
          <w:p>
            <w:pPr>
              <w:spacing w:after="20" w:before="20"/>
            </w:pPr>
            <w:r/>
            <w:r>
              <w:rPr>
                <w:rFonts w:ascii="Arial" w:hAnsi="Arial"/>
                <w:b w:val="0"/>
                <w:color w:val="23302C"/>
                <w:sz w:val="16"/>
              </w:rPr>
              <w:t>Copy of the exact input dataset used for evaluation.</w:t>
            </w:r>
          </w:p>
        </w:tc>
      </w:tr>
      <w:tr>
        <w:tc>
          <w:tcPr>
            <w:tcW w:type="dxa" w:w="3600"/>
            <w:vAlign w:val="center"/>
          </w:tcPr>
          <w:p>
            <w:pPr>
              <w:spacing w:after="20" w:before="20"/>
            </w:pPr>
            <w:r/>
            <w:r>
              <w:rPr>
                <w:rFonts w:ascii="Arial" w:hAnsi="Arial"/>
                <w:b/>
                <w:color w:val="23302C"/>
                <w:sz w:val="16"/>
              </w:rPr>
              <w:t>BaselineSnapshot.assignments / unscheduled</w:t>
            </w:r>
          </w:p>
        </w:tc>
        <w:tc>
          <w:tcPr>
            <w:tcW w:type="dxa" w:w="6480"/>
            <w:vAlign w:val="center"/>
          </w:tcPr>
          <w:p>
            <w:pPr>
              <w:spacing w:after="20" w:before="20"/>
            </w:pPr>
            <w:r/>
            <w:r>
              <w:rPr>
                <w:rFonts w:ascii="Arial" w:hAnsi="Arial"/>
                <w:b w:val="0"/>
                <w:color w:val="23302C"/>
                <w:sz w:val="16"/>
              </w:rPr>
              <w:t>Original schedule records, including unscheduled work orders.</w:t>
            </w:r>
          </w:p>
        </w:tc>
      </w:tr>
      <w:tr>
        <w:tc>
          <w:tcPr>
            <w:tcW w:type="dxa" w:w="3600"/>
            <w:vAlign w:val="center"/>
            <w:shd w:fill="F0F4F1"/>
          </w:tcPr>
          <w:p>
            <w:pPr>
              <w:spacing w:after="20" w:before="20"/>
            </w:pPr>
            <w:r/>
            <w:r>
              <w:rPr>
                <w:rFonts w:ascii="Arial" w:hAnsi="Arial"/>
                <w:b/>
                <w:color w:val="23302C"/>
                <w:sz w:val="16"/>
              </w:rPr>
              <w:t>BaselineSnapshot.metrics</w:t>
            </w:r>
          </w:p>
        </w:tc>
        <w:tc>
          <w:tcPr>
            <w:tcW w:type="dxa" w:w="6480"/>
            <w:vAlign w:val="center"/>
            <w:shd w:fill="F0F4F1"/>
          </w:tcPr>
          <w:p>
            <w:pPr>
              <w:spacing w:after="20" w:before="20"/>
            </w:pPr>
            <w:r/>
            <w:r>
              <w:rPr>
                <w:rFonts w:ascii="Arial" w:hAnsi="Arial"/>
                <w:b w:val="0"/>
                <w:color w:val="23302C"/>
                <w:sz w:val="16"/>
              </w:rPr>
              <w:t>Metric values calculated for the saved baseline.</w:t>
            </w:r>
          </w:p>
        </w:tc>
      </w:tr>
    </w:tbl>
    <w:p>
      <w:pPr>
        <w:spacing w:after="0"/>
      </w:pPr>
    </w:p>
    <w:p>
      <w:pPr>
        <w:pStyle w:val="Heading2"/>
      </w:pPr>
      <w:r>
        <w:t>Sample metrics from the example</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952"/>
            <w:vAlign w:val="center"/>
            <w:shd w:fill="245C4B"/>
          </w:tcPr>
          <w:p>
            <w:pPr>
              <w:spacing w:after="20" w:before="20"/>
            </w:pPr>
            <w:r/>
            <w:r>
              <w:rPr>
                <w:rFonts w:ascii="Arial" w:hAnsi="Arial"/>
                <w:b/>
                <w:color w:val="FFFFFF"/>
                <w:sz w:val="15"/>
              </w:rPr>
              <w:t>Metric</w:t>
            </w:r>
          </w:p>
        </w:tc>
        <w:tc>
          <w:tcPr>
            <w:tcW w:type="dxa" w:w="1008"/>
            <w:vAlign w:val="center"/>
            <w:shd w:fill="245C4B"/>
          </w:tcPr>
          <w:p>
            <w:pPr>
              <w:spacing w:after="20" w:before="20"/>
            </w:pPr>
            <w:r/>
            <w:r>
              <w:rPr>
                <w:rFonts w:ascii="Arial" w:hAnsi="Arial"/>
                <w:b/>
                <w:color w:val="FFFFFF"/>
                <w:sz w:val="15"/>
              </w:rPr>
              <w:t>Value</w:t>
            </w:r>
          </w:p>
        </w:tc>
        <w:tc>
          <w:tcPr>
            <w:tcW w:type="dxa" w:w="6120"/>
            <w:vAlign w:val="center"/>
            <w:shd w:fill="245C4B"/>
          </w:tcPr>
          <w:p>
            <w:pPr>
              <w:spacing w:after="20" w:before="20"/>
            </w:pPr>
            <w:r/>
            <w:r>
              <w:rPr>
                <w:rFonts w:ascii="Arial" w:hAnsi="Arial"/>
                <w:b/>
                <w:color w:val="FFFFFF"/>
                <w:sz w:val="15"/>
              </w:rPr>
              <w:t>How it is calculated</w:t>
            </w:r>
          </w:p>
        </w:tc>
      </w:tr>
      <w:tr>
        <w:tc>
          <w:tcPr>
            <w:tcW w:type="dxa" w:w="2952"/>
            <w:vAlign w:val="center"/>
          </w:tcPr>
          <w:p>
            <w:pPr>
              <w:spacing w:after="20" w:before="20"/>
            </w:pPr>
            <w:r/>
            <w:r>
              <w:rPr>
                <w:rFonts w:ascii="Arial" w:hAnsi="Arial"/>
                <w:b/>
                <w:color w:val="23302C"/>
                <w:sz w:val="15"/>
              </w:rPr>
              <w:t>definition_version</w:t>
            </w:r>
          </w:p>
        </w:tc>
        <w:tc>
          <w:tcPr>
            <w:tcW w:type="dxa" w:w="1008"/>
            <w:vAlign w:val="center"/>
          </w:tcPr>
          <w:p>
            <w:pPr>
              <w:spacing w:after="20" w:before="20"/>
            </w:pPr>
            <w:r/>
            <w:r>
              <w:rPr>
                <w:rFonts w:ascii="Arial" w:hAnsi="Arial"/>
                <w:b w:val="0"/>
                <w:color w:val="23302C"/>
                <w:sz w:val="15"/>
              </w:rPr>
              <w:t>1</w:t>
            </w:r>
          </w:p>
        </w:tc>
        <w:tc>
          <w:tcPr>
            <w:tcW w:type="dxa" w:w="6120"/>
            <w:vAlign w:val="center"/>
          </w:tcPr>
          <w:p>
            <w:pPr>
              <w:spacing w:after="20" w:before="20"/>
            </w:pPr>
            <w:r/>
            <w:r>
              <w:rPr>
                <w:rFonts w:ascii="Arial" w:hAnsi="Arial"/>
                <w:b w:val="0"/>
                <w:color w:val="23302C"/>
                <w:sz w:val="15"/>
              </w:rPr>
              <w:t>Identifies the evaluator’s metric definition version.</w:t>
            </w:r>
          </w:p>
        </w:tc>
      </w:tr>
      <w:tr>
        <w:tc>
          <w:tcPr>
            <w:tcW w:type="dxa" w:w="2952"/>
            <w:vAlign w:val="center"/>
            <w:shd w:fill="F0F4F1"/>
          </w:tcPr>
          <w:p>
            <w:pPr>
              <w:spacing w:after="20" w:before="20"/>
            </w:pPr>
            <w:r/>
            <w:r>
              <w:rPr>
                <w:rFonts w:ascii="Arial" w:hAnsi="Arial"/>
                <w:b/>
                <w:color w:val="23302C"/>
                <w:sz w:val="15"/>
              </w:rPr>
              <w:t>input_work_order_count</w:t>
            </w:r>
          </w:p>
        </w:tc>
        <w:tc>
          <w:tcPr>
            <w:tcW w:type="dxa" w:w="1008"/>
            <w:vAlign w:val="center"/>
            <w:shd w:fill="F0F4F1"/>
          </w:tcPr>
          <w:p>
            <w:pPr>
              <w:spacing w:after="20" w:before="20"/>
            </w:pPr>
            <w:r/>
            <w:r>
              <w:rPr>
                <w:rFonts w:ascii="Arial" w:hAnsi="Arial"/>
                <w:b w:val="0"/>
                <w:color w:val="23302C"/>
                <w:sz w:val="15"/>
              </w:rPr>
              <w:t>1</w:t>
            </w:r>
          </w:p>
        </w:tc>
        <w:tc>
          <w:tcPr>
            <w:tcW w:type="dxa" w:w="6120"/>
            <w:vAlign w:val="center"/>
            <w:shd w:fill="F0F4F1"/>
          </w:tcPr>
          <w:p>
            <w:pPr>
              <w:spacing w:after="20" w:before="20"/>
            </w:pPr>
            <w:r/>
            <w:r>
              <w:rPr>
                <w:rFonts w:ascii="Arial" w:hAnsi="Arial"/>
                <w:b w:val="0"/>
                <w:color w:val="23302C"/>
                <w:sz w:val="15"/>
              </w:rPr>
              <w:t>Number of work orders in the captured dataset.</w:t>
            </w:r>
          </w:p>
        </w:tc>
      </w:tr>
      <w:tr>
        <w:tc>
          <w:tcPr>
            <w:tcW w:type="dxa" w:w="2952"/>
            <w:vAlign w:val="center"/>
          </w:tcPr>
          <w:p>
            <w:pPr>
              <w:spacing w:after="20" w:before="20"/>
            </w:pPr>
            <w:r/>
            <w:r>
              <w:rPr>
                <w:rFonts w:ascii="Arial" w:hAnsi="Arial"/>
                <w:b/>
                <w:color w:val="23302C"/>
                <w:sz w:val="15"/>
              </w:rPr>
              <w:t>input_worker_count</w:t>
            </w:r>
          </w:p>
        </w:tc>
        <w:tc>
          <w:tcPr>
            <w:tcW w:type="dxa" w:w="1008"/>
            <w:vAlign w:val="center"/>
          </w:tcPr>
          <w:p>
            <w:pPr>
              <w:spacing w:after="20" w:before="20"/>
            </w:pPr>
            <w:r/>
            <w:r>
              <w:rPr>
                <w:rFonts w:ascii="Arial" w:hAnsi="Arial"/>
                <w:b w:val="0"/>
                <w:color w:val="23302C"/>
                <w:sz w:val="15"/>
              </w:rPr>
              <w:t>2</w:t>
            </w:r>
          </w:p>
        </w:tc>
        <w:tc>
          <w:tcPr>
            <w:tcW w:type="dxa" w:w="6120"/>
            <w:vAlign w:val="center"/>
          </w:tcPr>
          <w:p>
            <w:pPr>
              <w:spacing w:after="20" w:before="20"/>
            </w:pPr>
            <w:r/>
            <w:r>
              <w:rPr>
                <w:rFonts w:ascii="Arial" w:hAnsi="Arial"/>
                <w:b w:val="0"/>
                <w:color w:val="23302C"/>
                <w:sz w:val="15"/>
              </w:rPr>
              <w:t>Number of workers in the captured dataset.</w:t>
            </w:r>
          </w:p>
        </w:tc>
      </w:tr>
      <w:tr>
        <w:tc>
          <w:tcPr>
            <w:tcW w:type="dxa" w:w="2952"/>
            <w:vAlign w:val="center"/>
            <w:shd w:fill="F0F4F1"/>
          </w:tcPr>
          <w:p>
            <w:pPr>
              <w:spacing w:after="20" w:before="20"/>
            </w:pPr>
            <w:r/>
            <w:r>
              <w:rPr>
                <w:rFonts w:ascii="Arial" w:hAnsi="Arial"/>
                <w:b/>
                <w:color w:val="23302C"/>
                <w:sz w:val="15"/>
              </w:rPr>
              <w:t>input_equipment_count</w:t>
            </w:r>
          </w:p>
        </w:tc>
        <w:tc>
          <w:tcPr>
            <w:tcW w:type="dxa" w:w="1008"/>
            <w:vAlign w:val="center"/>
            <w:shd w:fill="F0F4F1"/>
          </w:tcPr>
          <w:p>
            <w:pPr>
              <w:spacing w:after="20" w:before="20"/>
            </w:pPr>
            <w:r/>
            <w:r>
              <w:rPr>
                <w:rFonts w:ascii="Arial" w:hAnsi="Arial"/>
                <w:b w:val="0"/>
                <w:color w:val="23302C"/>
                <w:sz w:val="15"/>
              </w:rPr>
              <w:t>1</w:t>
            </w:r>
          </w:p>
        </w:tc>
        <w:tc>
          <w:tcPr>
            <w:tcW w:type="dxa" w:w="6120"/>
            <w:vAlign w:val="center"/>
            <w:shd w:fill="F0F4F1"/>
          </w:tcPr>
          <w:p>
            <w:pPr>
              <w:spacing w:after="20" w:before="20"/>
            </w:pPr>
            <w:r/>
            <w:r>
              <w:rPr>
                <w:rFonts w:ascii="Arial" w:hAnsi="Arial"/>
                <w:b w:val="0"/>
                <w:color w:val="23302C"/>
                <w:sz w:val="15"/>
              </w:rPr>
              <w:t>Number of equipment items in the captured dataset.</w:t>
            </w:r>
          </w:p>
        </w:tc>
      </w:tr>
      <w:tr>
        <w:tc>
          <w:tcPr>
            <w:tcW w:type="dxa" w:w="2952"/>
            <w:vAlign w:val="center"/>
          </w:tcPr>
          <w:p>
            <w:pPr>
              <w:spacing w:after="20" w:before="20"/>
            </w:pPr>
            <w:r/>
            <w:r>
              <w:rPr>
                <w:rFonts w:ascii="Arial" w:hAnsi="Arial"/>
                <w:b/>
                <w:color w:val="23302C"/>
                <w:sz w:val="15"/>
              </w:rPr>
              <w:t>assignment_count</w:t>
            </w:r>
          </w:p>
        </w:tc>
        <w:tc>
          <w:tcPr>
            <w:tcW w:type="dxa" w:w="1008"/>
            <w:vAlign w:val="center"/>
          </w:tcPr>
          <w:p>
            <w:pPr>
              <w:spacing w:after="20" w:before="20"/>
            </w:pPr>
            <w:r/>
            <w:r>
              <w:rPr>
                <w:rFonts w:ascii="Arial" w:hAnsi="Arial"/>
                <w:b w:val="0"/>
                <w:color w:val="23302C"/>
                <w:sz w:val="15"/>
              </w:rPr>
              <w:t>1</w:t>
            </w:r>
          </w:p>
        </w:tc>
        <w:tc>
          <w:tcPr>
            <w:tcW w:type="dxa" w:w="6120"/>
            <w:vAlign w:val="center"/>
          </w:tcPr>
          <w:p>
            <w:pPr>
              <w:spacing w:after="20" w:before="20"/>
            </w:pPr>
            <w:r/>
            <w:r>
              <w:rPr>
                <w:rFonts w:ascii="Arial" w:hAnsi="Arial"/>
                <w:b w:val="0"/>
                <w:color w:val="23302C"/>
                <w:sz w:val="15"/>
              </w:rPr>
              <w:t>Number of assignment records.</w:t>
            </w:r>
          </w:p>
        </w:tc>
      </w:tr>
      <w:tr>
        <w:tc>
          <w:tcPr>
            <w:tcW w:type="dxa" w:w="2952"/>
            <w:vAlign w:val="center"/>
            <w:shd w:fill="F0F4F1"/>
          </w:tcPr>
          <w:p>
            <w:pPr>
              <w:spacing w:after="20" w:before="20"/>
            </w:pPr>
            <w:r/>
            <w:r>
              <w:rPr>
                <w:rFonts w:ascii="Arial" w:hAnsi="Arial"/>
                <w:b/>
                <w:color w:val="23302C"/>
                <w:sz w:val="15"/>
              </w:rPr>
              <w:t>scheduled_work_order_count</w:t>
            </w:r>
          </w:p>
        </w:tc>
        <w:tc>
          <w:tcPr>
            <w:tcW w:type="dxa" w:w="1008"/>
            <w:vAlign w:val="center"/>
            <w:shd w:fill="F0F4F1"/>
          </w:tcPr>
          <w:p>
            <w:pPr>
              <w:spacing w:after="20" w:before="20"/>
            </w:pPr>
            <w:r/>
            <w:r>
              <w:rPr>
                <w:rFonts w:ascii="Arial" w:hAnsi="Arial"/>
                <w:b w:val="0"/>
                <w:color w:val="23302C"/>
                <w:sz w:val="15"/>
              </w:rPr>
              <w:t>1</w:t>
            </w:r>
          </w:p>
        </w:tc>
        <w:tc>
          <w:tcPr>
            <w:tcW w:type="dxa" w:w="6120"/>
            <w:vAlign w:val="center"/>
            <w:shd w:fill="F0F4F1"/>
          </w:tcPr>
          <w:p>
            <w:pPr>
              <w:spacing w:after="20" w:before="20"/>
            </w:pPr>
            <w:r/>
            <w:r>
              <w:rPr>
                <w:rFonts w:ascii="Arial" w:hAnsi="Arial"/>
                <w:b w:val="0"/>
                <w:color w:val="23302C"/>
                <w:sz w:val="15"/>
              </w:rPr>
              <w:t>Distinct work orders referenced by assignments.</w:t>
            </w:r>
          </w:p>
        </w:tc>
      </w:tr>
      <w:tr>
        <w:tc>
          <w:tcPr>
            <w:tcW w:type="dxa" w:w="2952"/>
            <w:vAlign w:val="center"/>
          </w:tcPr>
          <w:p>
            <w:pPr>
              <w:spacing w:after="20" w:before="20"/>
            </w:pPr>
            <w:r/>
            <w:r>
              <w:rPr>
                <w:rFonts w:ascii="Arial" w:hAnsi="Arial"/>
                <w:b/>
                <w:color w:val="23302C"/>
                <w:sz w:val="15"/>
              </w:rPr>
              <w:t>worker_allocation_count</w:t>
            </w:r>
          </w:p>
        </w:tc>
        <w:tc>
          <w:tcPr>
            <w:tcW w:type="dxa" w:w="1008"/>
            <w:vAlign w:val="center"/>
          </w:tcPr>
          <w:p>
            <w:pPr>
              <w:spacing w:after="20" w:before="20"/>
            </w:pPr>
            <w:r/>
            <w:r>
              <w:rPr>
                <w:rFonts w:ascii="Arial" w:hAnsi="Arial"/>
                <w:b w:val="0"/>
                <w:color w:val="23302C"/>
                <w:sz w:val="15"/>
              </w:rPr>
              <w:t>2</w:t>
            </w:r>
          </w:p>
        </w:tc>
        <w:tc>
          <w:tcPr>
            <w:tcW w:type="dxa" w:w="6120"/>
            <w:vAlign w:val="center"/>
          </w:tcPr>
          <w:p>
            <w:pPr>
              <w:spacing w:after="20" w:before="20"/>
            </w:pPr>
            <w:r/>
            <w:r>
              <w:rPr>
                <w:rFonts w:ascii="Arial" w:hAnsi="Arial"/>
                <w:b w:val="0"/>
                <w:color w:val="23302C"/>
                <w:sz w:val="15"/>
              </w:rPr>
              <w:t>Sum of worker IDs across assignments.</w:t>
            </w:r>
          </w:p>
        </w:tc>
      </w:tr>
      <w:tr>
        <w:tc>
          <w:tcPr>
            <w:tcW w:type="dxa" w:w="2952"/>
            <w:vAlign w:val="center"/>
            <w:shd w:fill="F0F4F1"/>
          </w:tcPr>
          <w:p>
            <w:pPr>
              <w:spacing w:after="20" w:before="20"/>
            </w:pPr>
            <w:r/>
            <w:r>
              <w:rPr>
                <w:rFonts w:ascii="Arial" w:hAnsi="Arial"/>
                <w:b/>
                <w:color w:val="23302C"/>
                <w:sz w:val="15"/>
              </w:rPr>
              <w:t>equipment_allocation_count</w:t>
            </w:r>
          </w:p>
        </w:tc>
        <w:tc>
          <w:tcPr>
            <w:tcW w:type="dxa" w:w="1008"/>
            <w:vAlign w:val="center"/>
            <w:shd w:fill="F0F4F1"/>
          </w:tcPr>
          <w:p>
            <w:pPr>
              <w:spacing w:after="20" w:before="20"/>
            </w:pPr>
            <w:r/>
            <w:r>
              <w:rPr>
                <w:rFonts w:ascii="Arial" w:hAnsi="Arial"/>
                <w:b w:val="0"/>
                <w:color w:val="23302C"/>
                <w:sz w:val="15"/>
              </w:rPr>
              <w:t>1</w:t>
            </w:r>
          </w:p>
        </w:tc>
        <w:tc>
          <w:tcPr>
            <w:tcW w:type="dxa" w:w="6120"/>
            <w:vAlign w:val="center"/>
            <w:shd w:fill="F0F4F1"/>
          </w:tcPr>
          <w:p>
            <w:pPr>
              <w:spacing w:after="20" w:before="20"/>
            </w:pPr>
            <w:r/>
            <w:r>
              <w:rPr>
                <w:rFonts w:ascii="Arial" w:hAnsi="Arial"/>
                <w:b w:val="0"/>
                <w:color w:val="23302C"/>
                <w:sz w:val="15"/>
              </w:rPr>
              <w:t>Sum of equipment IDs across assignments.</w:t>
            </w:r>
          </w:p>
        </w:tc>
      </w:tr>
      <w:tr>
        <w:tc>
          <w:tcPr>
            <w:tcW w:type="dxa" w:w="2952"/>
            <w:vAlign w:val="center"/>
          </w:tcPr>
          <w:p>
            <w:pPr>
              <w:spacing w:after="20" w:before="20"/>
            </w:pPr>
            <w:r/>
            <w:r>
              <w:rPr>
                <w:rFonts w:ascii="Arial" w:hAnsi="Arial"/>
                <w:b/>
                <w:color w:val="23302C"/>
                <w:sz w:val="15"/>
              </w:rPr>
              <w:t>scheduled_minutes</w:t>
            </w:r>
          </w:p>
        </w:tc>
        <w:tc>
          <w:tcPr>
            <w:tcW w:type="dxa" w:w="1008"/>
            <w:vAlign w:val="center"/>
          </w:tcPr>
          <w:p>
            <w:pPr>
              <w:spacing w:after="20" w:before="20"/>
            </w:pPr>
            <w:r/>
            <w:r>
              <w:rPr>
                <w:rFonts w:ascii="Arial" w:hAnsi="Arial"/>
                <w:b w:val="0"/>
                <w:color w:val="23302C"/>
                <w:sz w:val="15"/>
              </w:rPr>
              <w:t>180</w:t>
            </w:r>
          </w:p>
        </w:tc>
        <w:tc>
          <w:tcPr>
            <w:tcW w:type="dxa" w:w="6120"/>
            <w:vAlign w:val="center"/>
          </w:tcPr>
          <w:p>
            <w:pPr>
              <w:spacing w:after="20" w:before="20"/>
            </w:pPr>
            <w:r/>
            <w:r>
              <w:rPr>
                <w:rFonts w:ascii="Arial" w:hAnsi="Arial"/>
                <w:b w:val="0"/>
                <w:color w:val="23302C"/>
                <w:sz w:val="15"/>
              </w:rPr>
              <w:t>09:00 minus 06:00; breaks are not subtracted.</w:t>
            </w:r>
          </w:p>
        </w:tc>
      </w:tr>
      <w:tr>
        <w:tc>
          <w:tcPr>
            <w:tcW w:type="dxa" w:w="2952"/>
            <w:vAlign w:val="center"/>
            <w:shd w:fill="F0F4F1"/>
          </w:tcPr>
          <w:p>
            <w:pPr>
              <w:spacing w:after="20" w:before="20"/>
            </w:pPr>
            <w:r/>
            <w:r>
              <w:rPr>
                <w:rFonts w:ascii="Arial" w:hAnsi="Arial"/>
                <w:b/>
                <w:color w:val="23302C"/>
                <w:sz w:val="15"/>
              </w:rPr>
              <w:t>unscheduled_work_order_count</w:t>
            </w:r>
          </w:p>
        </w:tc>
        <w:tc>
          <w:tcPr>
            <w:tcW w:type="dxa" w:w="1008"/>
            <w:vAlign w:val="center"/>
            <w:shd w:fill="F0F4F1"/>
          </w:tcPr>
          <w:p>
            <w:pPr>
              <w:spacing w:after="20" w:before="20"/>
            </w:pPr>
            <w:r/>
            <w:r>
              <w:rPr>
                <w:rFonts w:ascii="Arial" w:hAnsi="Arial"/>
                <w:b w:val="0"/>
                <w:color w:val="23302C"/>
                <w:sz w:val="15"/>
              </w:rPr>
              <w:t>0</w:t>
            </w:r>
          </w:p>
        </w:tc>
        <w:tc>
          <w:tcPr>
            <w:tcW w:type="dxa" w:w="6120"/>
            <w:vAlign w:val="center"/>
            <w:shd w:fill="F0F4F1"/>
          </w:tcPr>
          <w:p>
            <w:pPr>
              <w:spacing w:after="20" w:before="20"/>
            </w:pPr>
            <w:r/>
            <w:r>
              <w:rPr>
                <w:rFonts w:ascii="Arial" w:hAnsi="Arial"/>
                <w:b w:val="0"/>
                <w:color w:val="23302C"/>
                <w:sz w:val="15"/>
              </w:rPr>
              <w:t>Number of entries in the unscheduled list.</w:t>
            </w:r>
          </w:p>
        </w:tc>
      </w:tr>
    </w:tbl>
    <w:p>
      <w:pPr>
        <w:spacing w:after="0"/>
      </w:pPr>
    </w:p>
    <w:p>
      <w:pPr>
        <w:pStyle w:val="Heading2"/>
      </w:pPr>
      <w:r>
        <w:t>What the metrics do not say</w:t>
      </w:r>
    </w:p>
    <w:p>
      <w:r>
        <w:t>These version 1 metrics summarize counts and scheduled time. They do not measure safety compliance, schedule quality, improvements, or recommendations. The evaluator checks that IDs referenced by assignments exist in the captured dataset; it does not replace full scheduling-constraint validation.</w:t>
      </w:r>
    </w:p>
    <w:sectPr w:rsidR="00FC693F" w:rsidRPr="0006063C" w:rsidSect="00034616">
      <w:footerReference w:type="default" r:id="rId9"/>
      <w:pgSz w:w="12240" w:h="15840"/>
      <w:pgMar w:top="936"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9766F"/>
        <w:sz w:val="16"/>
      </w:rPr>
      <w:t>Baseline Planning Run Schema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color w:val="232D2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0"/>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