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D1C1" w14:textId="25FAB0E7" w:rsidR="00242DB1" w:rsidRDefault="001531F5" w:rsidP="001531F5">
      <w:pPr>
        <w:jc w:val="center"/>
      </w:pPr>
      <w:r>
        <w:rPr>
          <w:noProof/>
        </w:rPr>
        <w:drawing>
          <wp:inline distT="0" distB="0" distL="0" distR="0" wp14:anchorId="626D7D1E" wp14:editId="1D65CE54">
            <wp:extent cx="3771900" cy="2066925"/>
            <wp:effectExtent l="0" t="0" r="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063A143-7755-4989-9D89-643179EF91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063A143-7755-4989-9D89-643179EF9129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167" cy="20670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9DA7" w14:textId="77777777" w:rsidR="001531F5" w:rsidRPr="00F91BC8" w:rsidRDefault="001531F5" w:rsidP="001531F5">
      <w:pPr>
        <w:pStyle w:val="NoSpacing"/>
      </w:pPr>
      <w:r w:rsidRPr="00F91BC8">
        <w:t>From this graph we can see there is a positive relationship between adult height and adolescent height.</w:t>
      </w:r>
    </w:p>
    <w:p w14:paraId="1D614E5C" w14:textId="77777777" w:rsidR="001531F5" w:rsidRDefault="001531F5" w:rsidP="001531F5">
      <w:bookmarkStart w:id="0" w:name="_GoBack"/>
      <w:bookmarkEnd w:id="0"/>
    </w:p>
    <w:sectPr w:rsidR="0015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MTI1tTA3NjM1MzdR0lEKTi0uzszPAykwrAUApjAYWiwAAAA="/>
  </w:docVars>
  <w:rsids>
    <w:rsidRoot w:val="00D87ED1"/>
    <w:rsid w:val="001531F5"/>
    <w:rsid w:val="001E5C7A"/>
    <w:rsid w:val="00277CF4"/>
    <w:rsid w:val="004F029C"/>
    <w:rsid w:val="00777CB3"/>
    <w:rsid w:val="009D3CC1"/>
    <w:rsid w:val="00B20EAF"/>
    <w:rsid w:val="00D87ED1"/>
    <w:rsid w:val="00E5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2B9A"/>
  <w15:chartTrackingRefBased/>
  <w15:docId w15:val="{82405175-BB4F-464C-B552-AD47414B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F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531F5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Mottaghi</dc:creator>
  <cp:keywords/>
  <dc:description/>
  <cp:lastModifiedBy>Navid Mottaghi</cp:lastModifiedBy>
  <cp:revision>2</cp:revision>
  <dcterms:created xsi:type="dcterms:W3CDTF">2019-07-29T02:55:00Z</dcterms:created>
  <dcterms:modified xsi:type="dcterms:W3CDTF">2019-07-29T02:56:00Z</dcterms:modified>
</cp:coreProperties>
</file>