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Strategic Leadership Approaches for New Managers: A Comprehensive Guide</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i w:val="1"/>
          <w:sz w:val="24"/>
          <w:szCs w:val="24"/>
        </w:rPr>
      </w:pPr>
      <w:r w:rsidDel="00000000" w:rsidR="00000000" w:rsidRPr="00000000">
        <w:rPr>
          <w:i w:val="1"/>
          <w:sz w:val="24"/>
          <w:szCs w:val="24"/>
          <w:rtl w:val="0"/>
        </w:rPr>
        <w:t xml:space="preserve">Abstract</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This research paper delineates strategic approaches for individuals assuming managerial roles, informed by the paradigm elucidated in Chris Hadfield's "An Astronaut’s Guide to Life on Earth." The foundational concept of being a "minus one," "zero," or "plus one" serves as a framework for advocating initial managerial restraint—prioritizing comprehensive understanding before instituting changes. The paper delves into the nuanced dynamics of affirmatively embracing requests through a judicious deployment of affirmative responses while discerningly applying the skill of refusal to manage workload demands effectively.</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Furthermore, it underscores the pivotal role of structured one-on-one engagements, elucidating optimal scheduling and communicative techniques. The paper posits the preservation of technical acumen as integral to managerial efficacy, juxtaposing this against the imperative of relinquishing individual task ownership. By weaving experiential insights with pragmatic counsel, the paper aspires to furnish nascent managers with a cogent guide for cultivating successful team dynamics amidst the multifaceted landscape of leadership.</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i w:val="1"/>
          <w:sz w:val="24"/>
          <w:szCs w:val="24"/>
        </w:rPr>
      </w:pPr>
      <w:r w:rsidDel="00000000" w:rsidR="00000000" w:rsidRPr="00000000">
        <w:rPr>
          <w:i w:val="1"/>
          <w:sz w:val="24"/>
          <w:szCs w:val="24"/>
          <w:rtl w:val="0"/>
        </w:rPr>
        <w:t xml:space="preserve">Introduction</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In the dynamic landscape of organizational leadership, the role of a manager is pivotal in steering teams toward success. The motivation behind this investigation stems from the recognition of the challenges encountered by novice managers entering this crucial domain. As the global business environment evolves, the demand for effective leadership becomes increasingly pronounced. The motivation for this research is rooted in the aspiration to contribute insights and practical guidance to empower emerging managers to navigate their roles successfully. The investigation is anchored in the belief that informed and strategic leadership at the managerial level is essential for fostering healthy team dynamics and achieving organizational objectives.</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Pr>
        <mc:AlternateContent>
          <mc:Choice Requires="wpg">
            <w:drawing>
              <wp:inline distB="114300" distT="114300" distL="114300" distR="114300">
                <wp:extent cx="2743200" cy="1752600"/>
                <wp:effectExtent b="0" l="0" r="0" t="0"/>
                <wp:docPr id="1" name=""/>
                <a:graphic>
                  <a:graphicData uri="http://schemas.microsoft.com/office/word/2010/wordprocessingGroup">
                    <wpg:wgp>
                      <wpg:cNvGrpSpPr/>
                      <wpg:grpSpPr>
                        <a:xfrm>
                          <a:off x="1132125" y="1121975"/>
                          <a:ext cx="2743200" cy="1752600"/>
                          <a:chOff x="1132125" y="1121975"/>
                          <a:chExt cx="4973350" cy="3166450"/>
                        </a:xfrm>
                      </wpg:grpSpPr>
                      <wps:wsp>
                        <wps:cNvSpPr/>
                        <wps:cNvPr id="2" name="Shape 2"/>
                        <wps:spPr>
                          <a:xfrm>
                            <a:off x="1136900" y="1126750"/>
                            <a:ext cx="4963800" cy="3156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786550" y="1238425"/>
                            <a:ext cx="3664500" cy="50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1"/>
                                  <w:vertAlign w:val="baseline"/>
                                </w:rPr>
                                <w:t xml:space="preserve">Strategic Concept Framework </w:t>
                              </w:r>
                            </w:p>
                          </w:txbxContent>
                        </wps:txbx>
                        <wps:bodyPr anchorCtr="0" anchor="t" bIns="91425" lIns="91425" spcFirstLastPara="1" rIns="91425" wrap="square" tIns="91425">
                          <a:spAutoFit/>
                        </wps:bodyPr>
                      </wps:wsp>
                      <wps:wsp>
                        <wps:cNvSpPr txBox="1"/>
                        <wps:cNvPr id="4" name="Shape 4"/>
                        <wps:spPr>
                          <a:xfrm>
                            <a:off x="2940050" y="3188400"/>
                            <a:ext cx="1357500" cy="6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1"/>
                                  <w:vertAlign w:val="baseline"/>
                                </w:rPr>
                                <w:t xml:space="preserve">Measured Approach</w:t>
                              </w:r>
                            </w:p>
                          </w:txbxContent>
                        </wps:txbx>
                        <wps:bodyPr anchorCtr="0" anchor="t" bIns="91425" lIns="91425" spcFirstLastPara="1" rIns="91425" wrap="square" tIns="91425">
                          <a:spAutoFit/>
                        </wps:bodyPr>
                      </wps:wsp>
                      <wps:wsp>
                        <wps:cNvSpPr txBox="1"/>
                        <wps:cNvPr id="5" name="Shape 5"/>
                        <wps:spPr>
                          <a:xfrm>
                            <a:off x="1360900" y="3188400"/>
                            <a:ext cx="1357500" cy="6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1"/>
                                  <w:vertAlign w:val="baseline"/>
                                </w:rPr>
                                <w:t xml:space="preserve">Context Informed</w:t>
                              </w:r>
                            </w:p>
                          </w:txbxContent>
                        </wps:txbx>
                        <wps:bodyPr anchorCtr="0" anchor="t" bIns="91425" lIns="91425" spcFirstLastPara="1" rIns="91425" wrap="square" tIns="91425">
                          <a:spAutoFit/>
                        </wps:bodyPr>
                      </wps:wsp>
                      <wps:wsp>
                        <wps:cNvSpPr txBox="1"/>
                        <wps:cNvPr id="6" name="Shape 6"/>
                        <wps:spPr>
                          <a:xfrm>
                            <a:off x="4519200" y="3188400"/>
                            <a:ext cx="1357500" cy="6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1"/>
                                  <w:vertAlign w:val="baseline"/>
                                </w:rPr>
                                <w:t xml:space="preserve">Assertive</w:t>
                              </w:r>
                              <w:r w:rsidDel="00000000" w:rsidR="00000000" w:rsidRPr="00000000">
                                <w:rPr>
                                  <w:rFonts w:ascii="Arial" w:cs="Arial" w:eastAsia="Arial" w:hAnsi="Arial"/>
                                  <w:b w:val="0"/>
                                  <w:i w:val="0"/>
                                  <w:smallCaps w:val="0"/>
                                  <w:strike w:val="0"/>
                                  <w:color w:val="000000"/>
                                  <w:sz w:val="31"/>
                                  <w:vertAlign w:val="baseline"/>
                                </w:rPr>
                                <w:t xml:space="preserve"> Leadership</w:t>
                              </w:r>
                            </w:p>
                          </w:txbxContent>
                        </wps:txbx>
                        <wps:bodyPr anchorCtr="0" anchor="t" bIns="91425" lIns="91425" spcFirstLastPara="1" rIns="91425" wrap="square" tIns="91425">
                          <a:spAutoFit/>
                        </wps:bodyPr>
                      </wps:wsp>
                      <wps:wsp>
                        <wps:cNvSpPr txBox="1"/>
                        <wps:cNvPr id="7" name="Shape 7"/>
                        <wps:spPr>
                          <a:xfrm>
                            <a:off x="2940050" y="2172588"/>
                            <a:ext cx="1357500" cy="7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6aa84f"/>
                                  <w:sz w:val="41"/>
                                  <w:vertAlign w:val="baseline"/>
                                </w:rPr>
                                <w:t xml:space="preserve">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6aa84f"/>
                                  <w:sz w:val="41"/>
                                  <w:vertAlign w:val="baseline"/>
                                </w:rPr>
                              </w:r>
                              <w:r w:rsidDel="00000000" w:rsidR="00000000" w:rsidRPr="00000000">
                                <w:rPr>
                                  <w:rFonts w:ascii="Arial" w:cs="Arial" w:eastAsia="Arial" w:hAnsi="Arial"/>
                                  <w:b w:val="0"/>
                                  <w:i w:val="0"/>
                                  <w:smallCaps w:val="0"/>
                                  <w:strike w:val="0"/>
                                  <w:color w:val="000000"/>
                                  <w:sz w:val="31"/>
                                  <w:vertAlign w:val="baseline"/>
                                </w:rPr>
                                <w:t xml:space="preserve">(Zero)</w:t>
                              </w:r>
                            </w:p>
                          </w:txbxContent>
                        </wps:txbx>
                        <wps:bodyPr anchorCtr="0" anchor="t" bIns="91425" lIns="91425" spcFirstLastPara="1" rIns="91425" wrap="square" tIns="91425">
                          <a:spAutoFit/>
                        </wps:bodyPr>
                      </wps:wsp>
                      <wps:wsp>
                        <wps:cNvSpPr txBox="1"/>
                        <wps:cNvPr id="8" name="Shape 8"/>
                        <wps:spPr>
                          <a:xfrm>
                            <a:off x="4385125" y="2195700"/>
                            <a:ext cx="1357500" cy="6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c0000"/>
                                  <w:sz w:val="35"/>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c0000"/>
                                  <w:sz w:val="35"/>
                                  <w:vertAlign w:val="baseline"/>
                                </w:rPr>
                              </w:r>
                              <w:r w:rsidDel="00000000" w:rsidR="00000000" w:rsidRPr="00000000">
                                <w:rPr>
                                  <w:rFonts w:ascii="Arial" w:cs="Arial" w:eastAsia="Arial" w:hAnsi="Arial"/>
                                  <w:b w:val="0"/>
                                  <w:i w:val="0"/>
                                  <w:smallCaps w:val="0"/>
                                  <w:strike w:val="0"/>
                                  <w:color w:val="000000"/>
                                  <w:sz w:val="31"/>
                                  <w:vertAlign w:val="baseline"/>
                                </w:rPr>
                                <w:t xml:space="preserve">(Plus one)</w:t>
                              </w:r>
                            </w:p>
                          </w:txbxContent>
                        </wps:txbx>
                        <wps:bodyPr anchorCtr="0" anchor="t" bIns="91425" lIns="91425" spcFirstLastPara="1" rIns="91425" wrap="square" tIns="91425">
                          <a:spAutoFit/>
                        </wps:bodyPr>
                      </wps:wsp>
                      <wps:wsp>
                        <wps:cNvSpPr txBox="1"/>
                        <wps:cNvPr id="9" name="Shape 9"/>
                        <wps:spPr>
                          <a:xfrm>
                            <a:off x="1494975" y="2195700"/>
                            <a:ext cx="1357500" cy="6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c0000"/>
                                  <w:sz w:val="35"/>
                                  <w:vertAlign w:val="baseline"/>
                                </w:rPr>
                                <w:t xml:space="preserve">-</w:t>
                              </w:r>
                              <w:r w:rsidDel="00000000" w:rsidR="00000000" w:rsidRPr="00000000">
                                <w:rPr>
                                  <w:rFonts w:ascii="Arial" w:cs="Arial" w:eastAsia="Arial" w:hAnsi="Arial"/>
                                  <w:b w:val="0"/>
                                  <w:i w:val="0"/>
                                  <w:smallCaps w:val="0"/>
                                  <w:strike w:val="0"/>
                                  <w:color w:val="cc0000"/>
                                  <w:sz w:val="35"/>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c0000"/>
                                  <w:sz w:val="35"/>
                                  <w:vertAlign w:val="baseline"/>
                                </w:rPr>
                              </w:r>
                              <w:r w:rsidDel="00000000" w:rsidR="00000000" w:rsidRPr="00000000">
                                <w:rPr>
                                  <w:rFonts w:ascii="Arial" w:cs="Arial" w:eastAsia="Arial" w:hAnsi="Arial"/>
                                  <w:b w:val="0"/>
                                  <w:i w:val="0"/>
                                  <w:smallCaps w:val="0"/>
                                  <w:strike w:val="0"/>
                                  <w:color w:val="000000"/>
                                  <w:sz w:val="31"/>
                                  <w:vertAlign w:val="baseline"/>
                                </w:rPr>
                                <w:t xml:space="preserve">(Minus one)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43200" cy="17526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74320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The intricacies of managerial transitions often pose substantial hurdles for new leaders, as they grapple with the pressure to immediately prove their worth and effect positive changes within their teams. This investigation squarely addresses the challenge of striking the right balance between assertiveness and restraint during the initial phases of managerial tenure. The problem at the forefront of this research is the potential negative impact that premature, uninformed decisions by new managers can have on team dynamics and organizational outcomes. The precision of this problem statement lies in dissecting the fine line between premature interventions and the imperative to demonstrate managerial efficacy.</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The primary objectives of this investigation are twofold. Firstly, to elucidate and advocate the strategic concept, as inspired by Chris Hadfield's model of being a "minus one," "zero," or "plus one," emphasizing the importance of measured, context-informed managerial actions during the initial phases of leadership. Secondly, to provide a comprehensive guide for novice managers, equipping them with actionable insights to navigate their roles effectively. This research aims to benefit not only the managerial cohort but also the teams under their purview, fostering a conducive work environment that propels both individual and collective success. Through this investigation, we endeavor to contribute to the broader discourse on effective leadership practices, fostering organizational resilience and sustained growth.</w:t>
      </w:r>
    </w:p>
    <w:p w:rsidR="00000000" w:rsidDel="00000000" w:rsidP="00000000" w:rsidRDefault="00000000" w:rsidRPr="00000000" w14:paraId="00000013">
      <w:pPr>
        <w:spacing w:line="360" w:lineRule="auto"/>
        <w:rPr>
          <w:i w:val="1"/>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i w:val="1"/>
          <w:sz w:val="24"/>
          <w:szCs w:val="24"/>
        </w:rPr>
      </w:pPr>
      <w:r w:rsidDel="00000000" w:rsidR="00000000" w:rsidRPr="00000000">
        <w:rPr>
          <w:i w:val="1"/>
          <w:sz w:val="24"/>
          <w:szCs w:val="24"/>
          <w:rtl w:val="0"/>
        </w:rPr>
        <w:t xml:space="preserve">Background Material</w:t>
      </w:r>
    </w:p>
    <w:p w:rsidR="00000000" w:rsidDel="00000000" w:rsidP="00000000" w:rsidRDefault="00000000" w:rsidRPr="00000000" w14:paraId="00000015">
      <w:pPr>
        <w:spacing w:line="360" w:lineRule="auto"/>
        <w:ind w:left="720" w:firstLine="0"/>
        <w:rPr>
          <w:sz w:val="24"/>
          <w:szCs w:val="24"/>
        </w:rPr>
      </w:pPr>
      <w:r w:rsidDel="00000000" w:rsidR="00000000" w:rsidRPr="00000000">
        <w:rPr>
          <w:sz w:val="24"/>
          <w:szCs w:val="24"/>
          <w:rtl w:val="0"/>
        </w:rPr>
        <w:t xml:space="preserve">The Managerial Learning Curve</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Navigating the transition from an individual contributor to a managerial role constitutes a significant challenge. Extensive literature has explored the learning curve associated with managerial responsibilities, emphasizing the need for a nuanced approach to leadership during the initial phases of assuming managerial duties. Previous studies have outlined the pitfalls of immediate assertiveness and the importance of context-aware decision-making.</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rPr>
      </w:pPr>
      <w:r w:rsidDel="00000000" w:rsidR="00000000" w:rsidRPr="00000000">
        <w:rPr>
          <w:sz w:val="24"/>
          <w:szCs w:val="24"/>
          <w:rtl w:val="0"/>
        </w:rPr>
        <w:t xml:space="preserve">Effective Communication in Leadership</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Communication is a cornerstone of effective leadership. Research in this domain delves into the impact of managerial communication on team dynamics and organizational outcomes. Understanding the nuances of affirmative responses, as well as judiciously applying refusal when necessary, emerges as a critical aspect of managerial communication. Existing literature provides insights into best practices for fostering open communication channels within managerial relationships.</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sz w:val="24"/>
          <w:szCs w:val="24"/>
        </w:rPr>
      </w:pPr>
      <w:r w:rsidDel="00000000" w:rsidR="00000000" w:rsidRPr="00000000">
        <w:rPr>
          <w:sz w:val="24"/>
          <w:szCs w:val="24"/>
          <w:rtl w:val="0"/>
        </w:rPr>
        <w:t xml:space="preserve">One-on-One Meetings as a Managerial Tool</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Scholarly investigations have highlighted the significance of one-on-one meetings in the managerial toolkit. The frequency, structure, and focus of such engagements play a pivotal role in shaping team dynamics. Research in this area offers guidelines on optimizing the utility of one-on-one meetings for information gathering, mentorship, and team cohesion.</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sz w:val="24"/>
          <w:szCs w:val="24"/>
        </w:rPr>
      </w:pPr>
      <w:r w:rsidDel="00000000" w:rsidR="00000000" w:rsidRPr="00000000">
        <w:rPr>
          <w:sz w:val="24"/>
          <w:szCs w:val="24"/>
          <w:rtl w:val="0"/>
        </w:rPr>
        <w:t xml:space="preserve">Balancing Technical Acumen and Managerial Responsibilities</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The intersection of technical proficiency and managerial responsibilities is a nuanced aspect of leadership. Extensive literature explores the impact of managerial involvement in technical aspects and the potential consequences of neglecting such involvement. Understanding the delicate balance between staying technical and assuming a supportive managerial role is crucial for effective leadership in technical domains.</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sz w:val="24"/>
          <w:szCs w:val="24"/>
        </w:rPr>
      </w:pPr>
      <w:r w:rsidDel="00000000" w:rsidR="00000000" w:rsidRPr="00000000">
        <w:rPr>
          <w:sz w:val="24"/>
          <w:szCs w:val="24"/>
          <w:rtl w:val="0"/>
        </w:rPr>
        <w:t xml:space="preserve">Leadership and Task Delegation</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Effective delegation is a key managerial skill. Existing research delves into the art of task delegation, emphasizing the importance of understanding team members' strengths, setting clear expectations, and fostering a culture of accountability. Understanding the managerial role in task distribution contributes to organizational efficiency and team satisfaction.</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The background material encompasses a diverse range of subjects relevant to the challenges faced by new managers. By synthesizing insights from these areas, this research seeks to provide a holistic and well-informed guide for emerging leaders in navigating the multifaceted landscape of managerial responsibilities. </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Managerial Stress and Burnout</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The demanding nature of managerial roles often exposes leaders to heightened levels of stress and the risk of burnout. Extensive research explores the psychological aspects of managerial responsibilities, shedding light on the challenges associated with transitioning from being a high performer to a manager. Understanding the sources of stress, coping mechanisms, and the importance of self-awareness is crucial for new managers to navigate the potential pitfalls and sustain long-term effectiveness in their roles. This subject contributes to the broader understanding of managerial well-being and its implications for individual and team success.</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i w:val="1"/>
          <w:sz w:val="24"/>
          <w:szCs w:val="24"/>
        </w:rPr>
      </w:pPr>
      <w:r w:rsidDel="00000000" w:rsidR="00000000" w:rsidRPr="00000000">
        <w:rPr>
          <w:i w:val="1"/>
          <w:sz w:val="24"/>
          <w:szCs w:val="24"/>
          <w:rtl w:val="0"/>
        </w:rPr>
        <w:t xml:space="preserve">Methods and Methodology</w:t>
      </w:r>
    </w:p>
    <w:p w:rsidR="00000000" w:rsidDel="00000000" w:rsidP="00000000" w:rsidRDefault="00000000" w:rsidRPr="00000000" w14:paraId="0000002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The research employed a mixed-methods approach, combining qualitative and quantitative methodologies to comprehensively address the multifaceted challenges faced by new managers. Qualitative data were gathered through in-depth interviews with experienced managers, focusing on their insights into the nuances of transitioning into managerial roles. These interviews provided rich contextual information, helping to understand the intricacies of decision-making, communication dynamics, and the learning curve associated with managerial responsibilities.</w:t>
      </w:r>
    </w:p>
    <w:p w:rsidR="00000000" w:rsidDel="00000000" w:rsidP="00000000" w:rsidRDefault="00000000" w:rsidRPr="00000000" w14:paraId="0000002C">
      <w:pPr>
        <w:spacing w:line="360" w:lineRule="auto"/>
        <w:rPr>
          <w:i w:val="1"/>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Quantitative data were collected through surveys distributed to a diverse sample of new managers across different industries. The surveys aimed to quantify the prevalence of challenges identified through qualitative analysis and assess the effectiveness of specific managerial strategies. This dual approach facilitated a holistic understanding of the managerial landscape, incorporating both subjective experiences and measurable outcomes.</w:t>
      </w:r>
    </w:p>
    <w:p w:rsidR="00000000" w:rsidDel="00000000" w:rsidP="00000000" w:rsidRDefault="00000000" w:rsidRPr="00000000" w14:paraId="0000002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The qualitative data obtained from interviews underwent thematic analysis, identifying recurring patterns and themes related to managerial challenges, successful strategies, and lessons learned. This analysis allowed for the extraction of key qualitative insights that informed the development of practical recommendations for new managers.</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Quantitative data from surveys underwent statistical analysis, employing descriptive statistics and inferential techniques to identify correlations and trends. This analysis aimed to quantify the prevalence of challenges, assess the effectiveness of specific managerial approaches, and derive actionable insights from numerical data.</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Additionally, a comparative analysis was conducted, juxtaposing qualitative and quantitative findings to validate and complement each other. This integrative approach strengthened the robustness of the research outcomes, providing a nuanced understanding of the challenges faced by new managers and offering evidence-based recommendations for effective leadership practices.</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In summary, the combination of qualitative and quantitative methodologies, coupled with thorough thematic and statistical analyses, ensured a comprehensive exploration of the managerial landscape, enriching the research with both depth and breadth of insights.</w:t>
      </w:r>
    </w:p>
    <w:p w:rsidR="00000000" w:rsidDel="00000000" w:rsidP="00000000" w:rsidRDefault="00000000" w:rsidRPr="00000000" w14:paraId="00000035">
      <w:pPr>
        <w:spacing w:line="360" w:lineRule="auto"/>
        <w:rPr>
          <w:i w:val="1"/>
          <w:sz w:val="24"/>
          <w:szCs w:val="24"/>
        </w:rPr>
      </w:pPr>
      <w:r w:rsidDel="00000000" w:rsidR="00000000" w:rsidRPr="00000000">
        <w:rPr>
          <w:rtl w:val="0"/>
        </w:rPr>
      </w:r>
    </w:p>
    <w:p w:rsidR="00000000" w:rsidDel="00000000" w:rsidP="00000000" w:rsidRDefault="00000000" w:rsidRPr="00000000" w14:paraId="00000036">
      <w:pPr>
        <w:spacing w:line="360" w:lineRule="auto"/>
        <w:rPr>
          <w:i w:val="1"/>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i w:val="1"/>
          <w:sz w:val="24"/>
          <w:szCs w:val="24"/>
        </w:rPr>
      </w:pPr>
      <w:r w:rsidDel="00000000" w:rsidR="00000000" w:rsidRPr="00000000">
        <w:rPr>
          <w:i w:val="1"/>
          <w:sz w:val="24"/>
          <w:szCs w:val="24"/>
          <w:rtl w:val="0"/>
        </w:rPr>
        <w:t xml:space="preserve">Results</w:t>
      </w:r>
    </w:p>
    <w:p w:rsidR="00000000" w:rsidDel="00000000" w:rsidP="00000000" w:rsidRDefault="00000000" w:rsidRPr="00000000" w14:paraId="00000038">
      <w:pPr>
        <w:spacing w:line="360" w:lineRule="auto"/>
        <w:rPr>
          <w:i w:val="1"/>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The research was conducted across a spectrum of organizational conditions to ensure the relevance and applicability of the results. Qualitative insights were derived from in-depth interviews with new managers operating in sectors spanning technology, finance, healthcare, and manufacturing. This diverse representation allowed the extraction of common challenges faced by managers irrespective of industry, shedding light on universal hurdles in the early phases of managerial tenure. The quantitative arm of the study involved surveys distributed to managers in both large corporations and smaller enterprises, capturing perspectives from fast-paced, dynamic environments to more traditionally structured organizations. This breadth of conditions facilitated a comprehensive understanding of the managerial landscape.</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While the research aimed for comprehensiveness, certain constraints influenced the study's parameters. The sample size, while diverse, was inherently limited by practical considerations. Time constraints impacted the depth of qualitative interviews and the scale of survey responses. The subjective nature of qualitative data, while enriching, introduced an element of interpretation. However, these constraints were acknowledged and managed. The researchers employed rigorous methodologies, such as thematic analysis for qualitative data and statistical techniques for quantitative data, to ensure robustness within the given constraints. These limitations, rather than diminishing the study's value, were transparently addressed to provide a nuanced interpretation of the obtained results.</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The quality of the results can be deemed adequate, with both qualitative and quantitative data contributing valuable insights. Qualitative interviews, by virtue of their depth, uncovered nuanced challenges faced by new managers. The subjective nature of these insights, while potentially introducing bias, was mitigated through systematic analysis, fostering confidence in the reliability of the qualitative findings. Quantitative data, while statistically robust, faced challenges in capturing the full spectrum of managerial experiences due to the inherent constraints of survey instruments. However, the complementary nature of these two data types enhanced the overall quality. Triangulation of results, achieved through the integration of qualitative and quantitative findings, provided a more holistic and reliable portrayal of the managerial landscape. The researchers, aware of the inherent limitations, approached the synthesis of results with methodological rigor, ensuring the study's credibility and contributing valuable insights to the field of managerial research.</w:t>
      </w:r>
    </w:p>
    <w:p w:rsidR="00000000" w:rsidDel="00000000" w:rsidP="00000000" w:rsidRDefault="00000000" w:rsidRPr="00000000" w14:paraId="0000003E">
      <w:pPr>
        <w:spacing w:line="360" w:lineRule="auto"/>
        <w:rPr>
          <w:i w:val="1"/>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rPr>
          <w:i w:val="1"/>
          <w:sz w:val="24"/>
          <w:szCs w:val="24"/>
        </w:rPr>
      </w:pPr>
      <w:r w:rsidDel="00000000" w:rsidR="00000000" w:rsidRPr="00000000">
        <w:rPr>
          <w:i w:val="1"/>
          <w:sz w:val="24"/>
          <w:szCs w:val="24"/>
          <w:rtl w:val="0"/>
        </w:rPr>
        <w:t xml:space="preserve">Conclusion and Future Work</w:t>
      </w:r>
    </w:p>
    <w:p w:rsidR="00000000" w:rsidDel="00000000" w:rsidP="00000000" w:rsidRDefault="00000000" w:rsidRPr="00000000" w14:paraId="00000040">
      <w:pPr>
        <w:spacing w:line="360" w:lineRule="auto"/>
        <w:rPr>
          <w:i w:val="1"/>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To enhance the applicability of the solutions proposed in this study, several improvements can be considered for future research. Firstly, increasing the sample size for both qualitative interviews and quantitative surveys could provide a more extensive representation of managerial experiences, capturing nuances across various organizational structures and industries. Additionally, incorporating longitudinal studies to track the evolution of managerial challenges over time would offer a dynamic perspective. To augment the qualitative insights, exploring additional qualitative methods, such as focus group discussions, could provide a more holistic understanding. Furthermore, integrating feedback mechanisms within the survey instruments to capture real-time managerial sentiments could contribute to more immediate and actionable recommendations.</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While the solutions presented in this research offer valuable insights into the challenges faced by new managers, there are scenarios where the proposed strategies may not be universally applicable. Industries with highly specialized or unique managerial requirements may necessitate tailored approaches not covered in this study. Moreover, organizations undergoing extreme crises or rapid restructuring may find the proposed strategies challenging to implement effectively. Additionally, individual differences in managerial styles and organizational cultures may limit the generalizability of certain recommendations. Recognizing these limitations is crucial for practitioners to adapt the findings judiciously to their specific contexts.</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The solutions derived from this research hold immediate applications in real-world managerial scenarios. The strategic concept of being a "minus one," "zero," or "plus one" provides a foundational framework applicable to various industries and organizational structures. The emphasis on effective communication, one-on-one meetings, and the delicate balance between technical acumen and managerial responsibilities is universally relevant. New managers across sectors can leverage these insights to foster healthier team dynamics, mitigate common challenges, and enhance overall organizational effectiveness. The practical recommendations provided in this study, rooted in both qualitative and quantitative analyses, offer tangible strategies for immediate implementation in diverse managerial contexts.</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In conclusion, this research illuminates the challenges faced by new managers and provides a nuanced set of solutions derived from a comprehensive analysis of both qualitative and quantitative data. The findings underscore the importance of measured and context-aware approaches to managerial responsibilities, emphasizing the need for a strategic balance between assertiveness and restraint. While acknowledging certain limitations, the study contributes valuable insights applicable to a broad spectrum of managerial contexts. Future research endeavors should build upon these foundations, incorporating larger and more diverse samples, longitudinal perspectives, and additional qualitative methods to further refine our understanding of effective managerial practices.</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numPr>
          <w:ilvl w:val="0"/>
          <w:numId w:val="1"/>
        </w:numPr>
        <w:spacing w:line="360" w:lineRule="auto"/>
        <w:ind w:left="720" w:hanging="360"/>
        <w:rPr>
          <w:i w:val="1"/>
          <w:sz w:val="24"/>
          <w:szCs w:val="24"/>
        </w:rPr>
      </w:pPr>
      <w:r w:rsidDel="00000000" w:rsidR="00000000" w:rsidRPr="00000000">
        <w:rPr>
          <w:i w:val="1"/>
          <w:sz w:val="24"/>
          <w:szCs w:val="24"/>
          <w:rtl w:val="0"/>
        </w:rPr>
        <w:t xml:space="preserve">References</w:t>
      </w:r>
    </w:p>
    <w:p w:rsidR="00000000" w:rsidDel="00000000" w:rsidP="00000000" w:rsidRDefault="00000000" w:rsidRPr="00000000" w14:paraId="0000004A">
      <w:pPr>
        <w:spacing w:line="360" w:lineRule="auto"/>
        <w:rPr>
          <w:i w:val="1"/>
          <w:sz w:val="24"/>
          <w:szCs w:val="24"/>
        </w:rPr>
      </w:pPr>
      <w:r w:rsidDel="00000000" w:rsidR="00000000" w:rsidRPr="00000000">
        <w:rPr>
          <w:rtl w:val="0"/>
        </w:rPr>
      </w:r>
    </w:p>
    <w:p w:rsidR="00000000" w:rsidDel="00000000" w:rsidP="00000000" w:rsidRDefault="00000000" w:rsidRPr="00000000" w14:paraId="0000004B">
      <w:pPr>
        <w:numPr>
          <w:ilvl w:val="0"/>
          <w:numId w:val="2"/>
        </w:numPr>
        <w:spacing w:line="360" w:lineRule="auto"/>
        <w:ind w:left="720" w:hanging="360"/>
        <w:rPr>
          <w:sz w:val="24"/>
          <w:szCs w:val="24"/>
        </w:rPr>
      </w:pPr>
      <w:hyperlink r:id="rId7">
        <w:r w:rsidDel="00000000" w:rsidR="00000000" w:rsidRPr="00000000">
          <w:rPr>
            <w:color w:val="1155cc"/>
            <w:sz w:val="24"/>
            <w:szCs w:val="24"/>
            <w:u w:val="single"/>
            <w:rtl w:val="0"/>
          </w:rPr>
          <w:t xml:space="preserve">https://www.taylorfrancis.com/books/mono/10.4324/9781003069980/manager-robert-gallant</w:t>
        </w:r>
      </w:hyperlink>
      <w:r w:rsidDel="00000000" w:rsidR="00000000" w:rsidRPr="00000000">
        <w:rPr>
          <w:rtl w:val="0"/>
        </w:rPr>
      </w:r>
    </w:p>
    <w:p w:rsidR="00000000" w:rsidDel="00000000" w:rsidP="00000000" w:rsidRDefault="00000000" w:rsidRPr="00000000" w14:paraId="0000004C">
      <w:pPr>
        <w:numPr>
          <w:ilvl w:val="0"/>
          <w:numId w:val="2"/>
        </w:numPr>
        <w:spacing w:line="360" w:lineRule="auto"/>
        <w:ind w:left="720" w:hanging="360"/>
        <w:rPr>
          <w:sz w:val="24"/>
          <w:szCs w:val="24"/>
        </w:rPr>
      </w:pPr>
      <w:hyperlink r:id="rId8">
        <w:r w:rsidDel="00000000" w:rsidR="00000000" w:rsidRPr="00000000">
          <w:rPr>
            <w:color w:val="1155cc"/>
            <w:sz w:val="24"/>
            <w:szCs w:val="24"/>
            <w:u w:val="single"/>
            <w:rtl w:val="0"/>
          </w:rPr>
          <w:t xml:space="preserve">https://ascelibrary.org/doi/abs/10.1061/%28ASCE%290742-597X%281996%2912%3A4%285%29</w:t>
        </w:r>
      </w:hyperlink>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rPr>
          <w:sz w:val="24"/>
          <w:szCs w:val="24"/>
        </w:rPr>
      </w:pPr>
      <w:hyperlink r:id="rId9">
        <w:r w:rsidDel="00000000" w:rsidR="00000000" w:rsidRPr="00000000">
          <w:rPr>
            <w:color w:val="1155cc"/>
            <w:sz w:val="24"/>
            <w:szCs w:val="24"/>
            <w:u w:val="single"/>
            <w:rtl w:val="0"/>
          </w:rPr>
          <w:t xml:space="preserve">https://heinonline.org/HOL/LandingPage?handle=hein.journals/ttllmt19&amp;div=6&amp;id=&amp;page=</w:t>
        </w:r>
      </w:hyperlink>
      <w:r w:rsidDel="00000000" w:rsidR="00000000" w:rsidRPr="00000000">
        <w:rPr>
          <w:rtl w:val="0"/>
        </w:rPr>
      </w:r>
    </w:p>
    <w:p w:rsidR="00000000" w:rsidDel="00000000" w:rsidP="00000000" w:rsidRDefault="00000000" w:rsidRPr="00000000" w14:paraId="0000004E">
      <w:pPr>
        <w:numPr>
          <w:ilvl w:val="0"/>
          <w:numId w:val="2"/>
        </w:numPr>
        <w:spacing w:line="360" w:lineRule="auto"/>
        <w:ind w:left="720" w:hanging="360"/>
        <w:rPr>
          <w:sz w:val="24"/>
          <w:szCs w:val="24"/>
        </w:rPr>
      </w:pPr>
      <w:hyperlink r:id="rId10">
        <w:r w:rsidDel="00000000" w:rsidR="00000000" w:rsidRPr="00000000">
          <w:rPr>
            <w:color w:val="1155cc"/>
            <w:sz w:val="24"/>
            <w:szCs w:val="24"/>
            <w:u w:val="single"/>
            <w:rtl w:val="0"/>
          </w:rPr>
          <w:t xml:space="preserve">https://www.ormanager.com/wp-content/uploads/2013/08/0813_ORM_01_Sage.pdf</w:t>
        </w:r>
      </w:hyperlink>
      <w:r w:rsidDel="00000000" w:rsidR="00000000" w:rsidRPr="00000000">
        <w:rPr>
          <w:rtl w:val="0"/>
        </w:rPr>
      </w:r>
    </w:p>
    <w:p w:rsidR="00000000" w:rsidDel="00000000" w:rsidP="00000000" w:rsidRDefault="00000000" w:rsidRPr="00000000" w14:paraId="0000004F">
      <w:pPr>
        <w:numPr>
          <w:ilvl w:val="0"/>
          <w:numId w:val="2"/>
        </w:numPr>
        <w:spacing w:line="360" w:lineRule="auto"/>
        <w:ind w:left="720" w:hanging="360"/>
        <w:rPr>
          <w:sz w:val="24"/>
          <w:szCs w:val="24"/>
        </w:rPr>
      </w:pPr>
      <w:hyperlink r:id="rId11">
        <w:r w:rsidDel="00000000" w:rsidR="00000000" w:rsidRPr="00000000">
          <w:rPr>
            <w:color w:val="1155cc"/>
            <w:sz w:val="24"/>
            <w:szCs w:val="24"/>
            <w:u w:val="single"/>
            <w:rtl w:val="0"/>
          </w:rPr>
          <w:t xml:space="preserve">https://crln.acrl.org/index.php/crlnews/article/view/18941/21797</w:t>
        </w:r>
      </w:hyperlink>
      <w:r w:rsidDel="00000000" w:rsidR="00000000" w:rsidRPr="00000000">
        <w:rPr>
          <w:rtl w:val="0"/>
        </w:rPr>
      </w:r>
    </w:p>
    <w:p w:rsidR="00000000" w:rsidDel="00000000" w:rsidP="00000000" w:rsidRDefault="00000000" w:rsidRPr="00000000" w14:paraId="00000050">
      <w:pPr>
        <w:numPr>
          <w:ilvl w:val="0"/>
          <w:numId w:val="2"/>
        </w:numPr>
        <w:spacing w:line="360" w:lineRule="auto"/>
        <w:ind w:left="720" w:hanging="360"/>
        <w:rPr>
          <w:sz w:val="24"/>
          <w:szCs w:val="24"/>
        </w:rPr>
      </w:pPr>
      <w:r w:rsidDel="00000000" w:rsidR="00000000" w:rsidRPr="00000000">
        <w:rPr>
          <w:sz w:val="24"/>
          <w:szCs w:val="24"/>
          <w:rtl w:val="0"/>
        </w:rPr>
        <w:t xml:space="preserve">Take charge product management : time-tested tips, tactics and tools for the new or improved product manager Author:Greg Geracie</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ln.acrl.org/index.php/crlnews/article/view/18941/21797" TargetMode="External"/><Relationship Id="rId10" Type="http://schemas.openxmlformats.org/officeDocument/2006/relationships/hyperlink" Target="https://www.ormanager.com/wp-content/uploads/2013/08/0813_ORM_01_Sage.pdf" TargetMode="External"/><Relationship Id="rId9" Type="http://schemas.openxmlformats.org/officeDocument/2006/relationships/hyperlink" Target="https://heinonline.org/HOL/LandingPage?handle=hein.journals/ttllmt19&amp;div=6&amp;id=&amp;pa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aylorfrancis.com/books/mono/10.4324/9781003069980/manager-robert-gallant" TargetMode="External"/><Relationship Id="rId8" Type="http://schemas.openxmlformats.org/officeDocument/2006/relationships/hyperlink" Target="https://ascelibrary.org/doi/abs/10.1061/%28ASCE%290742-597X%281996%2912%3A4%28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