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Strategic Leadership Approaches for New Managers: A Comprehensive Guide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i w:val="1"/>
          <w:u w:val="none"/>
        </w:rPr>
      </w:pPr>
      <w:r w:rsidDel="00000000" w:rsidR="00000000" w:rsidRPr="00000000">
        <w:rPr>
          <w:i w:val="1"/>
          <w:rtl w:val="0"/>
        </w:rPr>
        <w:t xml:space="preserve">Abstract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research paper delineates strategic approaches for individuals assuming managerial roles, informed by the paradigm elucidated in Chris Hadfield's "An Astronaut’s Guide to Life on Earth." The foundational concept of being a "minus one," "zero," or "plus one" serves as a framework for advocating initial managerial restraint—prioritizing comprehensive understanding before instituting changes. The paper delves into the nuanced dynamics of affirmatively embracing requests through a judicious deployment of affirmative responses while discerningly applying the skill of refusal to manage workload demands effectively.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Furthermore, it underscores the pivotal role of structured one-on-one engagements, elucidating optimal scheduling and communicative techniques. The paper posits the preservation of technical acumen as integral to managerial efficacy, juxtaposing this against the imperative of relinquishing individual task ownership. By weaving experiential insights with pragmatic counsel, the paper aspires to furnish nascent managers with a cogent guide for cultivating successful team dynamics amidst the multifaceted landscape of leadership.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i w:val="1"/>
          <w:u w:val="none"/>
        </w:rPr>
      </w:pPr>
      <w:r w:rsidDel="00000000" w:rsidR="00000000" w:rsidRPr="00000000">
        <w:rPr>
          <w:i w:val="1"/>
          <w:rtl w:val="0"/>
        </w:rPr>
        <w:t xml:space="preserve">Introduction</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numPr>
          <w:ilvl w:val="0"/>
          <w:numId w:val="1"/>
        </w:numPr>
        <w:ind w:left="720" w:hanging="360"/>
        <w:rPr>
          <w:i w:val="1"/>
          <w:u w:val="none"/>
        </w:rPr>
      </w:pPr>
      <w:r w:rsidDel="00000000" w:rsidR="00000000" w:rsidRPr="00000000">
        <w:rPr>
          <w:i w:val="1"/>
          <w:rtl w:val="0"/>
        </w:rPr>
        <w:t xml:space="preserve">Background Material</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numPr>
          <w:ilvl w:val="0"/>
          <w:numId w:val="1"/>
        </w:numPr>
        <w:ind w:left="720" w:hanging="360"/>
        <w:rPr>
          <w:i w:val="1"/>
          <w:u w:val="none"/>
        </w:rPr>
      </w:pPr>
      <w:r w:rsidDel="00000000" w:rsidR="00000000" w:rsidRPr="00000000">
        <w:rPr>
          <w:i w:val="1"/>
          <w:rtl w:val="0"/>
        </w:rPr>
        <w:t xml:space="preserve">Methods and Methodology</w:t>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numPr>
          <w:ilvl w:val="0"/>
          <w:numId w:val="1"/>
        </w:numPr>
        <w:ind w:left="720" w:hanging="360"/>
        <w:rPr>
          <w:i w:val="1"/>
          <w:u w:val="none"/>
        </w:rPr>
      </w:pPr>
      <w:r w:rsidDel="00000000" w:rsidR="00000000" w:rsidRPr="00000000">
        <w:rPr>
          <w:i w:val="1"/>
          <w:rtl w:val="0"/>
        </w:rPr>
        <w:t xml:space="preserve">Results</w:t>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numPr>
          <w:ilvl w:val="0"/>
          <w:numId w:val="1"/>
        </w:numPr>
        <w:ind w:left="720" w:hanging="360"/>
        <w:rPr>
          <w:i w:val="1"/>
          <w:u w:val="none"/>
        </w:rPr>
      </w:pPr>
      <w:r w:rsidDel="00000000" w:rsidR="00000000" w:rsidRPr="00000000">
        <w:rPr>
          <w:i w:val="1"/>
          <w:rtl w:val="0"/>
        </w:rPr>
        <w:t xml:space="preserve">Conclusion and Future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