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left"/>
      </w:pPr>
      <w:r>
        <w:rPr>
          <w:rFonts w:ascii="宋体" w:hAnsi="宋体" w:eastAsia="宋体"/>
          <w:b w:val="0"/>
          <w:sz w:val="24"/>
        </w:rPr>
      </w:r>
    </w:p>
    <w:p>
      <w:pPr>
        <w:spacing w:before="0" w:after="120" w:line="360" w:lineRule="auto"/>
        <w:jc w:val="left"/>
      </w:pPr>
      <w:r>
        <w:rPr>
          <w:rFonts w:ascii="宋体" w:hAnsi="宋体" w:eastAsia="宋体"/>
          <w:b w:val="0"/>
          <w:sz w:val="24"/>
        </w:rPr>
      </w:r>
    </w:p>
    <w:p>
      <w:pPr>
        <w:spacing w:before="0" w:after="120" w:line="360" w:lineRule="auto"/>
        <w:jc w:val="left"/>
      </w:pPr>
      <w:r>
        <w:rPr>
          <w:rFonts w:ascii="宋体" w:hAnsi="宋体" w:eastAsia="宋体"/>
          <w:b w:val="0"/>
          <w:sz w:val="24"/>
        </w:rPr>
      </w:r>
    </w:p>
    <w:p>
      <w:pPr>
        <w:spacing w:before="0" w:after="120" w:line="360" w:lineRule="auto"/>
        <w:jc w:val="left"/>
      </w:pPr>
      <w:r>
        <w:rPr>
          <w:rFonts w:ascii="宋体" w:hAnsi="宋体" w:eastAsia="宋体"/>
          <w:b w:val="0"/>
          <w:sz w:val="24"/>
        </w:rPr>
      </w:r>
    </w:p>
    <w:p>
      <w:pPr>
        <w:spacing w:before="0" w:after="240" w:line="360" w:lineRule="auto"/>
        <w:jc w:val="center"/>
      </w:pPr>
      <w:r>
        <w:rPr>
          <w:rFonts w:ascii="黑体" w:hAnsi="黑体" w:eastAsia="黑体"/>
          <w:b/>
          <w:sz w:val="56"/>
        </w:rPr>
        <w:t>根网盈通 北向DMA系统</w:t>
      </w:r>
    </w:p>
    <w:p>
      <w:pPr>
        <w:spacing w:before="0" w:after="480" w:line="360" w:lineRule="auto"/>
        <w:jc w:val="center"/>
      </w:pPr>
      <w:r>
        <w:rPr>
          <w:rFonts w:ascii="黑体" w:hAnsi="黑体" w:eastAsia="黑体"/>
          <w:b/>
          <w:sz w:val="44"/>
        </w:rPr>
        <w:t>项目资料汇编</w:t>
      </w:r>
    </w:p>
    <w:p>
      <w:pPr>
        <w:spacing w:before="0" w:after="120" w:line="360" w:lineRule="auto"/>
        <w:jc w:val="center"/>
      </w:pPr>
      <w:r>
        <w:rPr>
          <w:rFonts w:ascii="宋体" w:hAnsi="宋体" w:eastAsia="宋体"/>
          <w:b w:val="0"/>
          <w:sz w:val="28"/>
        </w:rPr>
        <w:t>兴业证券 · 衍生品与交易部</w:t>
      </w:r>
    </w:p>
    <w:p>
      <w:pPr>
        <w:spacing w:before="0" w:after="120" w:line="360" w:lineRule="auto"/>
        <w:jc w:val="center"/>
      </w:pPr>
      <w:r>
        <w:rPr>
          <w:rFonts w:ascii="宋体" w:hAnsi="宋体" w:eastAsia="宋体"/>
          <w:b w:val="0"/>
          <w:sz w:val="28"/>
        </w:rPr>
        <w:t>2026年7月</w:t>
      </w:r>
    </w:p>
    <w:p>
      <w:r>
        <w:br w:type="page"/>
      </w:r>
    </w:p>
    <w:p>
      <w:pPr>
        <w:pStyle w:val="Heading1"/>
      </w:pPr>
      <w:r>
        <w:rPr>
          <w:rFonts w:ascii="黑体" w:hAnsi="黑体" w:eastAsia="黑体"/>
          <w:b/>
          <w:sz w:val="36"/>
        </w:rPr>
        <w:t>目录</w:t>
      </w:r>
    </w:p>
    <w:p>
      <w:pPr>
        <w:spacing w:before="0" w:after="80" w:line="360" w:lineRule="auto"/>
        <w:jc w:val="left"/>
      </w:pPr>
      <w:r>
        <w:rPr>
          <w:rFonts w:ascii="宋体" w:hAnsi="宋体" w:eastAsia="宋体"/>
          <w:b w:val="0"/>
          <w:sz w:val="24"/>
        </w:rPr>
        <w:t>一、项目背景与系统概述</w:t>
      </w:r>
    </w:p>
    <w:p>
      <w:pPr>
        <w:spacing w:before="0" w:after="80" w:line="360" w:lineRule="auto"/>
        <w:jc w:val="left"/>
      </w:pPr>
      <w:r>
        <w:rPr>
          <w:rFonts w:ascii="宋体" w:hAnsi="宋体" w:eastAsia="宋体"/>
          <w:b w:val="0"/>
          <w:sz w:val="24"/>
        </w:rPr>
        <w:t>二、系统架构总览</w:t>
      </w:r>
    </w:p>
    <w:p>
      <w:pPr>
        <w:spacing w:before="0" w:after="80" w:line="360" w:lineRule="auto"/>
        <w:jc w:val="left"/>
      </w:pPr>
      <w:r>
        <w:rPr>
          <w:rFonts w:ascii="宋体" w:hAnsi="宋体" w:eastAsia="宋体"/>
          <w:b w:val="0"/>
          <w:sz w:val="24"/>
        </w:rPr>
        <w:t>三、功能清单详解</w:t>
      </w:r>
    </w:p>
    <w:p>
      <w:pPr>
        <w:spacing w:before="0" w:after="80" w:line="360" w:lineRule="auto"/>
        <w:jc w:val="left"/>
      </w:pPr>
      <w:r>
        <w:rPr>
          <w:rFonts w:ascii="宋体" w:hAnsi="宋体" w:eastAsia="宋体"/>
          <w:b w:val="0"/>
          <w:sz w:val="24"/>
        </w:rPr>
        <w:t xml:space="preserve">    3.1 IMS 三代交易核心（客户交易端 + 中后台）</w:t>
      </w:r>
    </w:p>
    <w:p>
      <w:pPr>
        <w:spacing w:before="0" w:after="80" w:line="360" w:lineRule="auto"/>
        <w:jc w:val="left"/>
      </w:pPr>
      <w:r>
        <w:rPr>
          <w:rFonts w:ascii="宋体" w:hAnsi="宋体" w:eastAsia="宋体"/>
          <w:b w:val="0"/>
          <w:sz w:val="24"/>
        </w:rPr>
        <w:t xml:space="preserve">    3.2 OTCD 管理（场外衍生品簿记）</w:t>
      </w:r>
    </w:p>
    <w:p>
      <w:pPr>
        <w:spacing w:before="0" w:after="80" w:line="360" w:lineRule="auto"/>
        <w:jc w:val="left"/>
      </w:pPr>
      <w:r>
        <w:rPr>
          <w:rFonts w:ascii="宋体" w:hAnsi="宋体" w:eastAsia="宋体"/>
          <w:b w:val="0"/>
          <w:sz w:val="24"/>
        </w:rPr>
        <w:t xml:space="preserve">    3.3 SBL 证券借贷管理平台</w:t>
      </w:r>
    </w:p>
    <w:p>
      <w:pPr>
        <w:spacing w:before="0" w:after="80" w:line="360" w:lineRule="auto"/>
        <w:jc w:val="left"/>
      </w:pPr>
      <w:r>
        <w:rPr>
          <w:rFonts w:ascii="宋体" w:hAnsi="宋体" w:eastAsia="宋体"/>
          <w:b w:val="0"/>
          <w:sz w:val="24"/>
        </w:rPr>
        <w:t xml:space="preserve">    3.4 现货COLO交易</w:t>
      </w:r>
    </w:p>
    <w:p>
      <w:pPr>
        <w:spacing w:before="0" w:after="80" w:line="360" w:lineRule="auto"/>
        <w:jc w:val="left"/>
      </w:pPr>
      <w:r>
        <w:rPr>
          <w:rFonts w:ascii="宋体" w:hAnsi="宋体" w:eastAsia="宋体"/>
          <w:b w:val="0"/>
          <w:sz w:val="24"/>
        </w:rPr>
        <w:t xml:space="preserve">    3.5 BrokerFill 融券自动撮合</w:t>
      </w:r>
    </w:p>
    <w:p>
      <w:pPr>
        <w:spacing w:before="0" w:after="80" w:line="360" w:lineRule="auto"/>
        <w:jc w:val="left"/>
      </w:pPr>
      <w:r>
        <w:rPr>
          <w:rFonts w:ascii="宋体" w:hAnsi="宋体" w:eastAsia="宋体"/>
          <w:b w:val="0"/>
          <w:sz w:val="24"/>
        </w:rPr>
        <w:t xml:space="preserve">    3.6 风控体系（IMS + OTCD + COLO）</w:t>
      </w:r>
    </w:p>
    <w:p>
      <w:pPr>
        <w:spacing w:before="0" w:after="80" w:line="360" w:lineRule="auto"/>
        <w:jc w:val="left"/>
      </w:pPr>
      <w:r>
        <w:rPr>
          <w:rFonts w:ascii="宋体" w:hAnsi="宋体" w:eastAsia="宋体"/>
          <w:b w:val="0"/>
          <w:sz w:val="24"/>
        </w:rPr>
        <w:t xml:space="preserve">    3.7 运维监控平台</w:t>
      </w:r>
    </w:p>
    <w:p>
      <w:pPr>
        <w:spacing w:before="0" w:after="80" w:line="360" w:lineRule="auto"/>
        <w:jc w:val="left"/>
      </w:pPr>
      <w:r>
        <w:rPr>
          <w:rFonts w:ascii="宋体" w:hAnsi="宋体" w:eastAsia="宋体"/>
          <w:b w:val="0"/>
          <w:sz w:val="24"/>
        </w:rPr>
        <w:t>四、同余 vs 根网 功能对比</w:t>
      </w:r>
    </w:p>
    <w:p>
      <w:pPr>
        <w:spacing w:before="0" w:after="80" w:line="360" w:lineRule="auto"/>
        <w:jc w:val="left"/>
      </w:pPr>
      <w:r>
        <w:rPr>
          <w:rFonts w:ascii="宋体" w:hAnsi="宋体" w:eastAsia="宋体"/>
          <w:b w:val="0"/>
          <w:sz w:val="24"/>
        </w:rPr>
        <w:t>五、关键概念解释</w:t>
      </w:r>
    </w:p>
    <w:p>
      <w:pPr>
        <w:spacing w:before="0" w:after="80" w:line="360" w:lineRule="auto"/>
        <w:jc w:val="left"/>
      </w:pPr>
      <w:r>
        <w:rPr>
          <w:rFonts w:ascii="宋体" w:hAnsi="宋体" w:eastAsia="宋体"/>
          <w:b w:val="0"/>
          <w:sz w:val="24"/>
        </w:rPr>
        <w:t>六、北向DMA工作内容整理</w:t>
      </w:r>
    </w:p>
    <w:p>
      <w:pPr>
        <w:spacing w:before="0" w:after="80" w:line="360" w:lineRule="auto"/>
        <w:jc w:val="left"/>
      </w:pPr>
      <w:r>
        <w:rPr>
          <w:rFonts w:ascii="宋体" w:hAnsi="宋体" w:eastAsia="宋体"/>
          <w:b w:val="0"/>
          <w:sz w:val="24"/>
        </w:rPr>
        <w:t>七、验收要点</w:t>
      </w:r>
    </w:p>
    <w:p>
      <w:pPr>
        <w:spacing w:before="0" w:after="80" w:line="360" w:lineRule="auto"/>
        <w:jc w:val="left"/>
      </w:pPr>
      <w:r>
        <w:rPr>
          <w:rFonts w:ascii="宋体" w:hAnsi="宋体" w:eastAsia="宋体"/>
          <w:b w:val="0"/>
          <w:sz w:val="24"/>
        </w:rPr>
        <w:t>八、附录：架构功能映射图</w:t>
      </w:r>
    </w:p>
    <w:p>
      <w:r>
        <w:br w:type="page"/>
      </w:r>
    </w:p>
    <w:p>
      <w:pPr>
        <w:pStyle w:val="Heading1"/>
      </w:pPr>
      <w:r>
        <w:rPr>
          <w:rFonts w:ascii="黑体" w:hAnsi="黑体" w:eastAsia="黑体"/>
          <w:b/>
          <w:sz w:val="36"/>
        </w:rPr>
        <w:t>一、项目背景与系统概述</w:t>
      </w:r>
    </w:p>
    <w:p>
      <w:pPr>
        <w:spacing w:before="0" w:after="120" w:line="360" w:lineRule="auto"/>
        <w:ind w:firstLine="480"/>
        <w:jc w:val="left"/>
      </w:pPr>
      <w:r>
        <w:rPr>
          <w:rFonts w:ascii="宋体" w:hAnsi="宋体" w:eastAsia="宋体"/>
          <w:b w:val="0"/>
          <w:sz w:val="24"/>
        </w:rPr>
        <w:t>兴业证券拟通过兴证香港引进根网盈通系统，为境外专业量化机构投资者提供北向DMA（直接市场接入）交易服务。该系统覆盖从香港客户接入到境内交易所执行的完整交易链路，是北向互换业务的技术基础设施。</w:t>
      </w:r>
    </w:p>
    <w:p>
      <w:pPr>
        <w:pStyle w:val="Heading2"/>
      </w:pPr>
      <w:r>
        <w:rPr>
          <w:rFonts w:ascii="黑体" w:hAnsi="黑体" w:eastAsia="黑体"/>
          <w:b/>
          <w:sz w:val="30"/>
        </w:rPr>
        <w:t>1.1 业务背景</w:t>
      </w:r>
    </w:p>
    <w:p>
      <w:pPr>
        <w:spacing w:before="0" w:after="120" w:line="360" w:lineRule="auto"/>
        <w:ind w:firstLine="480"/>
        <w:jc w:val="left"/>
      </w:pPr>
      <w:r>
        <w:rPr>
          <w:rFonts w:ascii="宋体" w:hAnsi="宋体" w:eastAsia="宋体"/>
          <w:b w:val="0"/>
          <w:sz w:val="24"/>
        </w:rPr>
        <w:t>在海外衍生品市场，收益互换电子化交易已是常见的场外交易模式之一，形成了成熟的业务体系。各家中资证券公司积极借助收益互换交易系统在境外子公司开展多空组合或其他收益互换业务，通过在香港市场提供北向交易模式，服务各类投资国内市场的专业量化机构投资者。</w:t>
      </w:r>
    </w:p>
    <w:p>
      <w:pPr>
        <w:pStyle w:val="Heading2"/>
      </w:pPr>
      <w:r>
        <w:rPr>
          <w:rFonts w:ascii="黑体" w:hAnsi="黑体" w:eastAsia="黑体"/>
          <w:b/>
          <w:sz w:val="30"/>
        </w:rPr>
        <w:t>1.2 系统定位</w:t>
      </w:r>
    </w:p>
    <w:p>
      <w:pPr>
        <w:spacing w:before="0" w:after="120" w:line="360" w:lineRule="auto"/>
        <w:ind w:firstLine="480"/>
        <w:jc w:val="left"/>
      </w:pPr>
      <w:r>
        <w:rPr>
          <w:rFonts w:ascii="宋体" w:hAnsi="宋体" w:eastAsia="宋体"/>
          <w:b w:val="0"/>
          <w:sz w:val="24"/>
        </w:rPr>
        <w:t>根网盈通是根网科技推出的第三代交易核心系统（IMS），定位为券商北向DMA业务的全链路解决方案。系统覆盖四大层级：香港客户接入层 → 香港云代理层 → 深圳云核心业务层 → 境内柜台执行层。</w:t>
      </w:r>
    </w:p>
    <w:p>
      <w:pPr>
        <w:pStyle w:val="Heading2"/>
      </w:pPr>
      <w:r>
        <w:rPr>
          <w:rFonts w:ascii="黑体" w:hAnsi="黑体" w:eastAsia="黑体"/>
          <w:b/>
          <w:sz w:val="30"/>
        </w:rPr>
        <w:t>1.3 与同余的关系</w:t>
      </w:r>
    </w:p>
    <w:p>
      <w:pPr>
        <w:spacing w:before="0" w:after="120" w:line="360" w:lineRule="auto"/>
        <w:ind w:firstLine="480"/>
        <w:jc w:val="left"/>
      </w:pPr>
      <w:r>
        <w:rPr>
          <w:rFonts w:ascii="宋体" w:hAnsi="宋体" w:eastAsia="宋体"/>
          <w:b w:val="0"/>
          <w:sz w:val="24"/>
        </w:rPr>
        <w:t>兴业证券当前已使用同余系统覆盖部分场外衍生品业务。根网盈通与同余存在功能重叠（OTCD簿记、PTP中后台），但根网在COLO托管交易、SBL融券、运维监控、BrokerFill等方面具有同余不具备的能力。是否替换同余或并行使用，需进一步确认。</w:t>
      </w:r>
    </w:p>
    <w:p>
      <w:r>
        <w:br w:type="page"/>
      </w:r>
    </w:p>
    <w:p>
      <w:pPr>
        <w:pStyle w:val="Heading1"/>
      </w:pPr>
      <w:r>
        <w:rPr>
          <w:rFonts w:ascii="黑体" w:hAnsi="黑体" w:eastAsia="黑体"/>
          <w:b/>
          <w:sz w:val="36"/>
        </w:rPr>
        <w:t>二、系统架构总览</w:t>
      </w:r>
    </w:p>
    <w:p>
      <w:pPr>
        <w:spacing w:before="0" w:after="120" w:line="360" w:lineRule="auto"/>
        <w:ind w:firstLine="480"/>
        <w:jc w:val="left"/>
      </w:pPr>
      <w:r>
        <w:rPr>
          <w:rFonts w:ascii="宋体" w:hAnsi="宋体" w:eastAsia="宋体"/>
          <w:b w:val="0"/>
          <w:sz w:val="24"/>
        </w:rPr>
        <w:t>根网盈通北向DMA系统采用四层四线架构，通过三条专线（香港专线、跨境专线、柜台专线）串联：</w:t>
      </w:r>
    </w:p>
    <w:p>
      <w:pPr>
        <w:pStyle w:val="Heading2"/>
      </w:pPr>
      <w:r>
        <w:rPr>
          <w:rFonts w:ascii="黑体" w:hAnsi="黑体" w:eastAsia="黑体"/>
          <w:b/>
          <w:sz w:val="30"/>
        </w:rPr>
        <w:t>2.1 架构分层</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rFonts w:ascii="黑体" w:hAnsi="黑体" w:eastAsia="黑体"/>
                <w:b/>
                <w:sz w:val="20"/>
              </w:rPr>
              <w:t>层级</w:t>
            </w:r>
          </w:p>
        </w:tc>
        <w:tc>
          <w:tcPr>
            <w:tcW w:type="dxa" w:w="2340"/>
          </w:tcPr>
          <w:p>
            <w:pPr>
              <w:jc w:val="center"/>
            </w:pPr>
            <w:r/>
            <w:r>
              <w:rPr>
                <w:rFonts w:ascii="黑体" w:hAnsi="黑体" w:eastAsia="黑体"/>
                <w:b/>
                <w:sz w:val="20"/>
              </w:rPr>
              <w:t>名称</w:t>
            </w:r>
          </w:p>
        </w:tc>
        <w:tc>
          <w:tcPr>
            <w:tcW w:type="dxa" w:w="2340"/>
          </w:tcPr>
          <w:p>
            <w:pPr>
              <w:jc w:val="center"/>
            </w:pPr>
            <w:r/>
            <w:r>
              <w:rPr>
                <w:rFonts w:ascii="黑体" w:hAnsi="黑体" w:eastAsia="黑体"/>
                <w:b/>
                <w:sz w:val="20"/>
              </w:rPr>
              <w:t>核心模块</w:t>
            </w:r>
          </w:p>
        </w:tc>
        <w:tc>
          <w:tcPr>
            <w:tcW w:type="dxa" w:w="2340"/>
          </w:tcPr>
          <w:p>
            <w:pPr>
              <w:jc w:val="center"/>
            </w:pPr>
            <w:r/>
            <w:r>
              <w:rPr>
                <w:rFonts w:ascii="黑体" w:hAnsi="黑体" w:eastAsia="黑体"/>
                <w:b/>
                <w:sz w:val="20"/>
              </w:rPr>
              <w:t>说明</w:t>
            </w:r>
          </w:p>
        </w:tc>
      </w:tr>
      <w:tr>
        <w:tc>
          <w:tcPr>
            <w:tcW w:type="dxa" w:w="2340"/>
          </w:tcPr>
          <w:p>
            <w:pPr>
              <w:jc w:val="left"/>
            </w:pPr>
            <w:r/>
            <w:r>
              <w:rPr>
                <w:rFonts w:ascii="宋体" w:hAnsi="宋体" w:eastAsia="宋体"/>
                <w:b w:val="0"/>
                <w:sz w:val="20"/>
              </w:rPr>
              <w:t>①</w:t>
            </w:r>
          </w:p>
        </w:tc>
        <w:tc>
          <w:tcPr>
            <w:tcW w:type="dxa" w:w="2340"/>
          </w:tcPr>
          <w:p>
            <w:pPr>
              <w:jc w:val="left"/>
            </w:pPr>
            <w:r/>
            <w:r>
              <w:rPr>
                <w:rFonts w:ascii="宋体" w:hAnsi="宋体" w:eastAsia="宋体"/>
                <w:b w:val="0"/>
                <w:sz w:val="20"/>
              </w:rPr>
              <w:t>兴证国际（香港入口）</w:t>
            </w:r>
          </w:p>
        </w:tc>
        <w:tc>
          <w:tcPr>
            <w:tcW w:type="dxa" w:w="2340"/>
          </w:tcPr>
          <w:p>
            <w:pPr>
              <w:jc w:val="left"/>
            </w:pPr>
            <w:r/>
            <w:r>
              <w:rPr>
                <w:rFonts w:ascii="宋体" w:hAnsi="宋体" w:eastAsia="宋体"/>
                <w:b w:val="0"/>
                <w:sz w:val="20"/>
              </w:rPr>
              <w:t>WEB / GUI / API / FIX / 数据库-备</w:t>
            </w:r>
          </w:p>
        </w:tc>
        <w:tc>
          <w:tcPr>
            <w:tcW w:type="dxa" w:w="2340"/>
          </w:tcPr>
          <w:p>
            <w:pPr>
              <w:jc w:val="left"/>
            </w:pPr>
            <w:r/>
            <w:r>
              <w:rPr>
                <w:rFonts w:ascii="宋体" w:hAnsi="宋体" w:eastAsia="宋体"/>
                <w:b w:val="0"/>
                <w:sz w:val="20"/>
              </w:rPr>
              <w:t>境外客户通过四种方式接入：网页端、桌面客户端、RESTful API、FIX协议。四种接入方式覆盖从人工交易到量化程序交易的全场景。</w:t>
            </w:r>
          </w:p>
        </w:tc>
      </w:tr>
      <w:tr>
        <w:tc>
          <w:tcPr>
            <w:tcW w:type="dxa" w:w="2340"/>
          </w:tcPr>
          <w:p>
            <w:pPr>
              <w:jc w:val="left"/>
            </w:pPr>
            <w:r/>
            <w:r>
              <w:rPr>
                <w:rFonts w:ascii="宋体" w:hAnsi="宋体" w:eastAsia="宋体"/>
                <w:b w:val="0"/>
                <w:sz w:val="20"/>
              </w:rPr>
              <w:t>②</w:t>
            </w:r>
          </w:p>
        </w:tc>
        <w:tc>
          <w:tcPr>
            <w:tcW w:type="dxa" w:w="2340"/>
          </w:tcPr>
          <w:p>
            <w:pPr>
              <w:jc w:val="left"/>
            </w:pPr>
            <w:r/>
            <w:r>
              <w:rPr>
                <w:rFonts w:ascii="宋体" w:hAnsi="宋体" w:eastAsia="宋体"/>
                <w:b w:val="0"/>
                <w:sz w:val="20"/>
              </w:rPr>
              <w:t>香港云（代理中转）</w:t>
            </w:r>
          </w:p>
        </w:tc>
        <w:tc>
          <w:tcPr>
            <w:tcW w:type="dxa" w:w="2340"/>
          </w:tcPr>
          <w:p>
            <w:pPr>
              <w:jc w:val="left"/>
            </w:pPr>
            <w:r/>
            <w:r>
              <w:rPr>
                <w:rFonts w:ascii="宋体" w:hAnsi="宋体" w:eastAsia="宋体"/>
                <w:b w:val="0"/>
                <w:sz w:val="20"/>
              </w:rPr>
              <w:t>web服务代理 / 交易代理</w:t>
            </w:r>
          </w:p>
        </w:tc>
        <w:tc>
          <w:tcPr>
            <w:tcW w:type="dxa" w:w="2340"/>
          </w:tcPr>
          <w:p>
            <w:pPr>
              <w:jc w:val="left"/>
            </w:pPr>
            <w:r/>
            <w:r>
              <w:rPr>
                <w:rFonts w:ascii="宋体" w:hAnsi="宋体" w:eastAsia="宋体"/>
                <w:b w:val="0"/>
                <w:sz w:val="20"/>
              </w:rPr>
              <w:t>基础设施层，不做业务逻辑，仅负责跨境网络中转。不属于软件功能清单范畴。</w:t>
            </w:r>
          </w:p>
        </w:tc>
      </w:tr>
      <w:tr>
        <w:tc>
          <w:tcPr>
            <w:tcW w:type="dxa" w:w="2340"/>
          </w:tcPr>
          <w:p>
            <w:pPr>
              <w:jc w:val="left"/>
            </w:pPr>
            <w:r/>
            <w:r>
              <w:rPr>
                <w:rFonts w:ascii="宋体" w:hAnsi="宋体" w:eastAsia="宋体"/>
                <w:b w:val="0"/>
                <w:sz w:val="20"/>
              </w:rPr>
              <w:t>③</w:t>
            </w:r>
          </w:p>
        </w:tc>
        <w:tc>
          <w:tcPr>
            <w:tcW w:type="dxa" w:w="2340"/>
          </w:tcPr>
          <w:p>
            <w:pPr>
              <w:jc w:val="left"/>
            </w:pPr>
            <w:r/>
            <w:r>
              <w:rPr>
                <w:rFonts w:ascii="宋体" w:hAnsi="宋体" w:eastAsia="宋体"/>
                <w:b w:val="0"/>
                <w:sz w:val="20"/>
              </w:rPr>
              <w:t>深圳云（核心业务层）</w:t>
            </w:r>
          </w:p>
        </w:tc>
        <w:tc>
          <w:tcPr>
            <w:tcW w:type="dxa" w:w="2340"/>
          </w:tcPr>
          <w:p>
            <w:pPr>
              <w:jc w:val="left"/>
            </w:pPr>
            <w:r/>
            <w:r>
              <w:rPr>
                <w:rFonts w:ascii="宋体" w:hAnsi="宋体" w:eastAsia="宋体"/>
                <w:b w:val="0"/>
                <w:sz w:val="20"/>
              </w:rPr>
              <w:t>交易系统 / 北向交易网关 / OTCD簿记 / PTP中后台 / SBL融券 / 行情资讯 / 监控</w:t>
            </w:r>
          </w:p>
        </w:tc>
        <w:tc>
          <w:tcPr>
            <w:tcW w:type="dxa" w:w="2340"/>
          </w:tcPr>
          <w:p>
            <w:pPr>
              <w:jc w:val="left"/>
            </w:pPr>
            <w:r/>
            <w:r>
              <w:rPr>
                <w:rFonts w:ascii="宋体" w:hAnsi="宋体" w:eastAsia="宋体"/>
                <w:b w:val="0"/>
                <w:sz w:val="20"/>
              </w:rPr>
              <w:t>系统主战场，包含IMS交易引擎、场外衍生品簿记、中后台管理、证券借贷、运维监控等全部业务模块。</w:t>
            </w:r>
          </w:p>
        </w:tc>
      </w:tr>
      <w:tr>
        <w:tc>
          <w:tcPr>
            <w:tcW w:type="dxa" w:w="2340"/>
          </w:tcPr>
          <w:p>
            <w:pPr>
              <w:jc w:val="left"/>
            </w:pPr>
            <w:r/>
            <w:r>
              <w:rPr>
                <w:rFonts w:ascii="宋体" w:hAnsi="宋体" w:eastAsia="宋体"/>
                <w:b w:val="0"/>
                <w:sz w:val="20"/>
              </w:rPr>
              <w:t>④</w:t>
            </w:r>
          </w:p>
        </w:tc>
        <w:tc>
          <w:tcPr>
            <w:tcW w:type="dxa" w:w="2340"/>
          </w:tcPr>
          <w:p>
            <w:pPr>
              <w:jc w:val="left"/>
            </w:pPr>
            <w:r/>
            <w:r>
              <w:rPr>
                <w:rFonts w:ascii="宋体" w:hAnsi="宋体" w:eastAsia="宋体"/>
                <w:b w:val="0"/>
                <w:sz w:val="20"/>
              </w:rPr>
              <w:t>境内柜台（执行层）</w:t>
            </w:r>
          </w:p>
        </w:tc>
        <w:tc>
          <w:tcPr>
            <w:tcW w:type="dxa" w:w="2340"/>
          </w:tcPr>
          <w:p>
            <w:pPr>
              <w:jc w:val="left"/>
            </w:pPr>
            <w:r/>
            <w:r>
              <w:rPr>
                <w:rFonts w:ascii="宋体" w:hAnsi="宋体" w:eastAsia="宋体"/>
                <w:b w:val="0"/>
                <w:sz w:val="20"/>
              </w:rPr>
              <w:t>QFII柜台 / 双融柜台 / 股衍柜台 / COLO RISK / 客户策略</w:t>
            </w:r>
          </w:p>
        </w:tc>
        <w:tc>
          <w:tcPr>
            <w:tcW w:type="dxa" w:w="2340"/>
          </w:tcPr>
          <w:p>
            <w:pPr>
              <w:jc w:val="left"/>
            </w:pPr>
            <w:r/>
            <w:r>
              <w:rPr>
                <w:rFonts w:ascii="宋体" w:hAnsi="宋体" w:eastAsia="宋体"/>
                <w:b w:val="0"/>
                <w:sz w:val="20"/>
              </w:rPr>
              <w:t>最终执行层，对接沪深交易所。COLO RISK为托管机房风控引擎，TP50&lt;10μs。</w:t>
            </w:r>
          </w:p>
        </w:tc>
      </w:tr>
    </w:tbl>
    <w:p>
      <w:pPr>
        <w:pStyle w:val="Heading2"/>
      </w:pPr>
      <w:r>
        <w:rPr>
          <w:rFonts w:ascii="黑体" w:hAnsi="黑体" w:eastAsia="黑体"/>
          <w:b/>
          <w:sz w:val="30"/>
        </w:rPr>
        <w:t>2.2 三条专线</w:t>
      </w:r>
    </w:p>
    <w:p>
      <w:pPr>
        <w:spacing w:before="0" w:after="120" w:line="360" w:lineRule="auto"/>
        <w:ind w:firstLine="480"/>
        <w:jc w:val="left"/>
      </w:pPr>
      <w:r>
        <w:rPr>
          <w:rFonts w:ascii="宋体" w:hAnsi="宋体" w:eastAsia="宋体"/>
          <w:b w:val="0"/>
          <w:sz w:val="24"/>
        </w:rPr>
        <w:t>香港专线：兴证国际 ↔ 香港云，承载WEB/API/FIX请求转发。</w:t>
      </w:r>
    </w:p>
    <w:p>
      <w:pPr>
        <w:spacing w:before="0" w:after="120" w:line="360" w:lineRule="auto"/>
        <w:ind w:firstLine="480"/>
        <w:jc w:val="left"/>
      </w:pPr>
      <w:r>
        <w:rPr>
          <w:rFonts w:ascii="宋体" w:hAnsi="宋体" w:eastAsia="宋体"/>
          <w:b w:val="0"/>
          <w:sz w:val="24"/>
        </w:rPr>
        <w:t>跨境专线：香港云 ↔ 深圳云，承载交易指令和数据的跨境传输。</w:t>
      </w:r>
    </w:p>
    <w:p>
      <w:pPr>
        <w:spacing w:before="0" w:after="120" w:line="360" w:lineRule="auto"/>
        <w:ind w:firstLine="480"/>
        <w:jc w:val="left"/>
      </w:pPr>
      <w:r>
        <w:rPr>
          <w:rFonts w:ascii="宋体" w:hAnsi="宋体" w:eastAsia="宋体"/>
          <w:b w:val="0"/>
          <w:sz w:val="24"/>
        </w:rPr>
        <w:t>柜台专线：深圳云 ↔ 境内柜台，承载最终下单指令到交易所。</w:t>
      </w:r>
    </w:p>
    <w:p>
      <w:r>
        <w:br w:type="page"/>
      </w:r>
    </w:p>
    <w:p>
      <w:pPr>
        <w:pStyle w:val="Heading1"/>
      </w:pPr>
      <w:r>
        <w:rPr>
          <w:rFonts w:ascii="黑体" w:hAnsi="黑体" w:eastAsia="黑体"/>
          <w:b/>
          <w:sz w:val="36"/>
        </w:rPr>
        <w:t>三、功能清单详解</w:t>
      </w:r>
    </w:p>
    <w:p>
      <w:pPr>
        <w:pStyle w:val="Heading2"/>
      </w:pPr>
      <w:r>
        <w:rPr>
          <w:rFonts w:ascii="黑体" w:hAnsi="黑体" w:eastAsia="黑体"/>
          <w:b/>
          <w:sz w:val="30"/>
        </w:rPr>
        <w:t>3.1 IMS 三代交易核心（客户交易端 + 中后台）</w:t>
      </w:r>
    </w:p>
    <w:p>
      <w:pPr>
        <w:spacing w:before="0" w:after="120" w:line="360" w:lineRule="auto"/>
        <w:ind w:firstLine="480"/>
        <w:jc w:val="left"/>
      </w:pPr>
      <w:r>
        <w:rPr>
          <w:rFonts w:ascii="宋体" w:hAnsi="宋体" w:eastAsia="宋体"/>
          <w:b w:val="0"/>
          <w:sz w:val="24"/>
        </w:rPr>
        <w:t>IMS是根网盈通的核心交易引擎，分为客户交易端和中后台两大模块。</w:t>
      </w:r>
    </w:p>
    <w:p>
      <w:pPr>
        <w:spacing w:before="120" w:after="120" w:line="360" w:lineRule="auto"/>
        <w:jc w:val="left"/>
      </w:pPr>
      <w:r>
        <w:rPr>
          <w:rFonts w:ascii="宋体" w:hAnsi="宋体" w:eastAsia="宋体"/>
          <w:b/>
          <w:sz w:val="24"/>
        </w:rPr>
        <w:t>客户交易端核心功能：</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
              <w:rPr>
                <w:rFonts w:ascii="黑体" w:hAnsi="黑体" w:eastAsia="黑体"/>
                <w:b/>
                <w:sz w:val="20"/>
              </w:rPr>
              <w:t>功能模块</w:t>
            </w:r>
          </w:p>
        </w:tc>
        <w:tc>
          <w:tcPr>
            <w:tcW w:type="dxa" w:w="3120"/>
          </w:tcPr>
          <w:p>
            <w:pPr>
              <w:jc w:val="center"/>
            </w:pPr>
            <w:r/>
            <w:r>
              <w:rPr>
                <w:rFonts w:ascii="黑体" w:hAnsi="黑体" w:eastAsia="黑体"/>
                <w:b/>
                <w:sz w:val="20"/>
              </w:rPr>
              <w:t>功能名称</w:t>
            </w:r>
          </w:p>
        </w:tc>
        <w:tc>
          <w:tcPr>
            <w:tcW w:type="dxa" w:w="3120"/>
          </w:tcPr>
          <w:p>
            <w:pPr>
              <w:jc w:val="center"/>
            </w:pPr>
            <w:r/>
            <w:r>
              <w:rPr>
                <w:rFonts w:ascii="黑体" w:hAnsi="黑体" w:eastAsia="黑体"/>
                <w:b/>
                <w:sz w:val="20"/>
              </w:rPr>
              <w:t>说明</w:t>
            </w:r>
          </w:p>
        </w:tc>
      </w:tr>
      <w:tr>
        <w:tc>
          <w:tcPr>
            <w:tcW w:type="dxa" w:w="3120"/>
          </w:tcPr>
          <w:p>
            <w:pPr>
              <w:jc w:val="left"/>
            </w:pPr>
            <w:r/>
            <w:r>
              <w:rPr>
                <w:rFonts w:ascii="宋体" w:hAnsi="宋体" w:eastAsia="宋体"/>
                <w:b w:val="0"/>
                <w:sz w:val="20"/>
              </w:rPr>
              <w:t>权限管理</w:t>
            </w:r>
          </w:p>
        </w:tc>
        <w:tc>
          <w:tcPr>
            <w:tcW w:type="dxa" w:w="3120"/>
          </w:tcPr>
          <w:p>
            <w:pPr>
              <w:jc w:val="left"/>
            </w:pPr>
            <w:r/>
            <w:r>
              <w:rPr>
                <w:rFonts w:ascii="宋体" w:hAnsi="宋体" w:eastAsia="宋体"/>
                <w:b w:val="0"/>
                <w:sz w:val="20"/>
              </w:rPr>
              <w:t>交易端登录 / 登录核对 / 信息提醒</w:t>
            </w:r>
          </w:p>
        </w:tc>
        <w:tc>
          <w:tcPr>
            <w:tcW w:type="dxa" w:w="3120"/>
          </w:tcPr>
          <w:p>
            <w:pPr>
              <w:jc w:val="left"/>
            </w:pPr>
            <w:r/>
            <w:r>
              <w:rPr>
                <w:rFonts w:ascii="宋体" w:hAnsi="宋体" w:eastAsia="宋体"/>
                <w:b w:val="0"/>
                <w:sz w:val="20"/>
              </w:rPr>
              <w:t>操作员认证、历史登录信息核对、锁屏/资产单元查看</w:t>
            </w:r>
          </w:p>
        </w:tc>
      </w:tr>
      <w:tr>
        <w:tc>
          <w:tcPr>
            <w:tcW w:type="dxa" w:w="3120"/>
          </w:tcPr>
          <w:p>
            <w:pPr>
              <w:jc w:val="left"/>
            </w:pPr>
            <w:r/>
            <w:r>
              <w:rPr>
                <w:rFonts w:ascii="宋体" w:hAnsi="宋体" w:eastAsia="宋体"/>
                <w:b w:val="0"/>
                <w:sz w:val="20"/>
              </w:rPr>
              <w:t>核心交易</w:t>
            </w:r>
          </w:p>
        </w:tc>
        <w:tc>
          <w:tcPr>
            <w:tcW w:type="dxa" w:w="3120"/>
          </w:tcPr>
          <w:p>
            <w:pPr>
              <w:jc w:val="left"/>
            </w:pPr>
            <w:r/>
            <w:r>
              <w:rPr>
                <w:rFonts w:ascii="宋体" w:hAnsi="宋体" w:eastAsia="宋体"/>
                <w:b w:val="0"/>
                <w:sz w:val="20"/>
              </w:rPr>
              <w:t>交易台交易 / 多通道自动对冲交易</w:t>
            </w:r>
          </w:p>
        </w:tc>
        <w:tc>
          <w:tcPr>
            <w:tcW w:type="dxa" w:w="3120"/>
          </w:tcPr>
          <w:p>
            <w:pPr>
              <w:jc w:val="left"/>
            </w:pPr>
            <w:r/>
            <w:r>
              <w:rPr>
                <w:rFonts w:ascii="宋体" w:hAnsi="宋体" w:eastAsia="宋体"/>
                <w:b w:val="0"/>
                <w:sz w:val="20"/>
              </w:rPr>
              <w:t>Manual单处理、母单拆子单、Algo订单、多通道路由</w:t>
            </w:r>
          </w:p>
        </w:tc>
      </w:tr>
      <w:tr>
        <w:tc>
          <w:tcPr>
            <w:tcW w:type="dxa" w:w="3120"/>
          </w:tcPr>
          <w:p>
            <w:pPr>
              <w:jc w:val="left"/>
            </w:pPr>
            <w:r/>
            <w:r>
              <w:rPr>
                <w:rFonts w:ascii="宋体" w:hAnsi="宋体" w:eastAsia="宋体"/>
                <w:b w:val="0"/>
                <w:sz w:val="20"/>
              </w:rPr>
              <w:t>交易策略</w:t>
            </w:r>
          </w:p>
        </w:tc>
        <w:tc>
          <w:tcPr>
            <w:tcW w:type="dxa" w:w="3120"/>
          </w:tcPr>
          <w:p>
            <w:pPr>
              <w:jc w:val="left"/>
            </w:pPr>
            <w:r/>
            <w:r>
              <w:rPr>
                <w:rFonts w:ascii="宋体" w:hAnsi="宋体" w:eastAsia="宋体"/>
                <w:b w:val="0"/>
                <w:sz w:val="20"/>
              </w:rPr>
              <w:t>BrokerFill</w:t>
            </w:r>
          </w:p>
        </w:tc>
        <w:tc>
          <w:tcPr>
            <w:tcW w:type="dxa" w:w="3120"/>
          </w:tcPr>
          <w:p>
            <w:pPr>
              <w:jc w:val="left"/>
            </w:pPr>
            <w:r/>
            <w:r>
              <w:rPr>
                <w:rFonts w:ascii="宋体" w:hAnsi="宋体" w:eastAsia="宋体"/>
                <w:b w:val="0"/>
                <w:sz w:val="20"/>
              </w:rPr>
              <w:t>融券自动撮合（详见3.5节）</w:t>
            </w:r>
          </w:p>
        </w:tc>
      </w:tr>
      <w:tr>
        <w:tc>
          <w:tcPr>
            <w:tcW w:type="dxa" w:w="3120"/>
          </w:tcPr>
          <w:p>
            <w:pPr>
              <w:jc w:val="left"/>
            </w:pPr>
            <w:r/>
            <w:r>
              <w:rPr>
                <w:rFonts w:ascii="宋体" w:hAnsi="宋体" w:eastAsia="宋体"/>
                <w:b w:val="0"/>
                <w:sz w:val="20"/>
              </w:rPr>
              <w:t>交易监控</w:t>
            </w:r>
          </w:p>
        </w:tc>
        <w:tc>
          <w:tcPr>
            <w:tcW w:type="dxa" w:w="3120"/>
          </w:tcPr>
          <w:p>
            <w:pPr>
              <w:jc w:val="left"/>
            </w:pPr>
            <w:r/>
            <w:r>
              <w:rPr>
                <w:rFonts w:ascii="宋体" w:hAnsi="宋体" w:eastAsia="宋体"/>
                <w:b w:val="0"/>
                <w:sz w:val="20"/>
              </w:rPr>
              <w:t>每日交易监控台 / 客户下单实时监控</w:t>
            </w:r>
          </w:p>
        </w:tc>
        <w:tc>
          <w:tcPr>
            <w:tcW w:type="dxa" w:w="3120"/>
          </w:tcPr>
          <w:p>
            <w:pPr>
              <w:jc w:val="left"/>
            </w:pPr>
            <w:r/>
            <w:r>
              <w:rPr>
                <w:rFonts w:ascii="宋体" w:hAnsi="宋体" w:eastAsia="宋体"/>
                <w:b w:val="0"/>
                <w:sz w:val="20"/>
              </w:rPr>
              <w:t>账户规模/余额/持仓/盈亏监控，下单与对冲执行实时展示</w:t>
            </w:r>
          </w:p>
        </w:tc>
      </w:tr>
      <w:tr>
        <w:tc>
          <w:tcPr>
            <w:tcW w:type="dxa" w:w="3120"/>
          </w:tcPr>
          <w:p>
            <w:pPr>
              <w:jc w:val="left"/>
            </w:pPr>
            <w:r/>
            <w:r>
              <w:rPr>
                <w:rFonts w:ascii="宋体" w:hAnsi="宋体" w:eastAsia="宋体"/>
                <w:b w:val="0"/>
                <w:sz w:val="20"/>
              </w:rPr>
              <w:t>查询统计</w:t>
            </w:r>
          </w:p>
        </w:tc>
        <w:tc>
          <w:tcPr>
            <w:tcW w:type="dxa" w:w="3120"/>
          </w:tcPr>
          <w:p>
            <w:pPr>
              <w:jc w:val="left"/>
            </w:pPr>
            <w:r/>
            <w:r>
              <w:rPr>
                <w:rFonts w:ascii="宋体" w:hAnsi="宋体" w:eastAsia="宋体"/>
                <w:b w:val="0"/>
                <w:sz w:val="20"/>
              </w:rPr>
              <w:t>当日/历史资金、持仓、委托、成交</w:t>
            </w:r>
          </w:p>
        </w:tc>
        <w:tc>
          <w:tcPr>
            <w:tcW w:type="dxa" w:w="3120"/>
          </w:tcPr>
          <w:p>
            <w:pPr>
              <w:jc w:val="left"/>
            </w:pPr>
            <w:r/>
            <w:r>
              <w:rPr>
                <w:rFonts w:ascii="宋体" w:hAnsi="宋体" w:eastAsia="宋体"/>
                <w:b w:val="0"/>
                <w:sz w:val="20"/>
              </w:rPr>
              <w:t>多维度筛选查询（产品/资产单元/投资组合/市场等）</w:t>
            </w:r>
          </w:p>
        </w:tc>
      </w:tr>
      <w:tr>
        <w:tc>
          <w:tcPr>
            <w:tcW w:type="dxa" w:w="3120"/>
          </w:tcPr>
          <w:p>
            <w:pPr>
              <w:jc w:val="left"/>
            </w:pPr>
            <w:r/>
            <w:r>
              <w:rPr>
                <w:rFonts w:ascii="宋体" w:hAnsi="宋体" w:eastAsia="宋体"/>
                <w:b w:val="0"/>
                <w:sz w:val="20"/>
              </w:rPr>
              <w:t>交易范围</w:t>
            </w:r>
          </w:p>
        </w:tc>
        <w:tc>
          <w:tcPr>
            <w:tcW w:type="dxa" w:w="3120"/>
          </w:tcPr>
          <w:p>
            <w:pPr>
              <w:jc w:val="left"/>
            </w:pPr>
            <w:r/>
            <w:r>
              <w:rPr>
                <w:rFonts w:ascii="宋体" w:hAnsi="宋体" w:eastAsia="宋体"/>
                <w:b w:val="0"/>
                <w:sz w:val="20"/>
              </w:rPr>
              <w:t>上交所、深交所普通买卖</w:t>
            </w:r>
          </w:p>
        </w:tc>
        <w:tc>
          <w:tcPr>
            <w:tcW w:type="dxa" w:w="3120"/>
          </w:tcPr>
          <w:p>
            <w:pPr>
              <w:jc w:val="left"/>
            </w:pPr>
            <w:r/>
            <w:r>
              <w:rPr>
                <w:rFonts w:ascii="宋体" w:hAnsi="宋体" w:eastAsia="宋体"/>
                <w:b w:val="0"/>
                <w:sz w:val="20"/>
              </w:rPr>
              <w:t>覆盖沪深两市股票交易</w:t>
            </w:r>
          </w:p>
        </w:tc>
      </w:tr>
    </w:tbl>
    <w:p>
      <w:pPr>
        <w:spacing w:before="120" w:after="120" w:line="360" w:lineRule="auto"/>
        <w:jc w:val="left"/>
      </w:pPr>
      <w:r>
        <w:rPr>
          <w:rFonts w:ascii="宋体" w:hAnsi="宋体" w:eastAsia="宋体"/>
          <w:b/>
          <w:sz w:val="24"/>
        </w:rPr>
        <w:t>中后台核心功能：</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
              <w:rPr>
                <w:rFonts w:ascii="黑体" w:hAnsi="黑体" w:eastAsia="黑体"/>
                <w:b/>
                <w:sz w:val="20"/>
              </w:rPr>
              <w:t>功能模块</w:t>
            </w:r>
          </w:p>
        </w:tc>
        <w:tc>
          <w:tcPr>
            <w:tcW w:type="dxa" w:w="4680"/>
          </w:tcPr>
          <w:p>
            <w:pPr>
              <w:jc w:val="center"/>
            </w:pPr>
            <w:r/>
            <w:r>
              <w:rPr>
                <w:rFonts w:ascii="黑体" w:hAnsi="黑体" w:eastAsia="黑体"/>
                <w:b/>
                <w:sz w:val="20"/>
              </w:rPr>
              <w:t>核心能力</w:t>
            </w:r>
          </w:p>
        </w:tc>
      </w:tr>
      <w:tr>
        <w:tc>
          <w:tcPr>
            <w:tcW w:type="dxa" w:w="4680"/>
          </w:tcPr>
          <w:p>
            <w:pPr>
              <w:jc w:val="left"/>
            </w:pPr>
            <w:r/>
            <w:r>
              <w:rPr>
                <w:rFonts w:ascii="宋体" w:hAnsi="宋体" w:eastAsia="宋体"/>
                <w:b w:val="0"/>
                <w:sz w:val="20"/>
              </w:rPr>
              <w:t>证券信息管理</w:t>
            </w:r>
          </w:p>
        </w:tc>
        <w:tc>
          <w:tcPr>
            <w:tcW w:type="dxa" w:w="4680"/>
          </w:tcPr>
          <w:p>
            <w:pPr>
              <w:jc w:val="left"/>
            </w:pPr>
            <w:r/>
            <w:r>
              <w:rPr>
                <w:rFonts w:ascii="宋体" w:hAnsi="宋体" w:eastAsia="宋体"/>
                <w:b w:val="0"/>
                <w:sz w:val="20"/>
              </w:rPr>
              <w:t>基础证券信息查询</w:t>
            </w:r>
          </w:p>
        </w:tc>
      </w:tr>
      <w:tr>
        <w:tc>
          <w:tcPr>
            <w:tcW w:type="dxa" w:w="4680"/>
          </w:tcPr>
          <w:p>
            <w:pPr>
              <w:jc w:val="left"/>
            </w:pPr>
            <w:r/>
            <w:r>
              <w:rPr>
                <w:rFonts w:ascii="宋体" w:hAnsi="宋体" w:eastAsia="宋体"/>
                <w:b w:val="0"/>
                <w:sz w:val="20"/>
              </w:rPr>
              <w:t>账户管理</w:t>
            </w:r>
          </w:p>
        </w:tc>
        <w:tc>
          <w:tcPr>
            <w:tcW w:type="dxa" w:w="4680"/>
          </w:tcPr>
          <w:p>
            <w:pPr>
              <w:jc w:val="left"/>
            </w:pPr>
            <w:r/>
            <w:r>
              <w:rPr>
                <w:rFonts w:ascii="宋体" w:hAnsi="宋体" w:eastAsia="宋体"/>
                <w:b w:val="0"/>
                <w:sz w:val="20"/>
              </w:rPr>
              <w:t>机构/产品/投资组合/交易股东/资金账户管理，个性化费用与保证金设置，对冲账户关联</w:t>
            </w:r>
          </w:p>
        </w:tc>
      </w:tr>
      <w:tr>
        <w:tc>
          <w:tcPr>
            <w:tcW w:type="dxa" w:w="4680"/>
          </w:tcPr>
          <w:p>
            <w:pPr>
              <w:jc w:val="left"/>
            </w:pPr>
            <w:r/>
            <w:r>
              <w:rPr>
                <w:rFonts w:ascii="宋体" w:hAnsi="宋体" w:eastAsia="宋体"/>
                <w:b w:val="0"/>
                <w:sz w:val="20"/>
              </w:rPr>
              <w:t>风控管理</w:t>
            </w:r>
          </w:p>
        </w:tc>
        <w:tc>
          <w:tcPr>
            <w:tcW w:type="dxa" w:w="4680"/>
          </w:tcPr>
          <w:p>
            <w:pPr>
              <w:jc w:val="left"/>
            </w:pPr>
            <w:r/>
            <w:r>
              <w:rPr>
                <w:rFonts w:ascii="宋体" w:hAnsi="宋体" w:eastAsia="宋体"/>
                <w:b w:val="0"/>
                <w:sz w:val="20"/>
              </w:rPr>
              <w:t>风控阈值设置、自定义风控规则、证券池禁买禁卖、实时风险监控</w:t>
            </w:r>
          </w:p>
        </w:tc>
      </w:tr>
      <w:tr>
        <w:tc>
          <w:tcPr>
            <w:tcW w:type="dxa" w:w="4680"/>
          </w:tcPr>
          <w:p>
            <w:pPr>
              <w:jc w:val="left"/>
            </w:pPr>
            <w:r/>
            <w:r>
              <w:rPr>
                <w:rFonts w:ascii="宋体" w:hAnsi="宋体" w:eastAsia="宋体"/>
                <w:b w:val="0"/>
                <w:sz w:val="20"/>
              </w:rPr>
              <w:t>清算管理</w:t>
            </w:r>
          </w:p>
        </w:tc>
        <w:tc>
          <w:tcPr>
            <w:tcW w:type="dxa" w:w="4680"/>
          </w:tcPr>
          <w:p>
            <w:pPr>
              <w:jc w:val="left"/>
            </w:pPr>
            <w:r/>
            <w:r>
              <w:rPr>
                <w:rFonts w:ascii="宋体" w:hAnsi="宋体" w:eastAsia="宋体"/>
                <w:b w:val="0"/>
                <w:sz w:val="20"/>
              </w:rPr>
              <w:t>场内清算、成交流水核对（场外vs场内、场内vs中登）、日终清算归档</w:t>
            </w:r>
          </w:p>
        </w:tc>
      </w:tr>
      <w:tr>
        <w:tc>
          <w:tcPr>
            <w:tcW w:type="dxa" w:w="4680"/>
          </w:tcPr>
          <w:p>
            <w:pPr>
              <w:jc w:val="left"/>
            </w:pPr>
            <w:r/>
            <w:r>
              <w:rPr>
                <w:rFonts w:ascii="宋体" w:hAnsi="宋体" w:eastAsia="宋体"/>
                <w:b w:val="0"/>
                <w:sz w:val="20"/>
              </w:rPr>
              <w:t>权限管理</w:t>
            </w:r>
          </w:p>
        </w:tc>
        <w:tc>
          <w:tcPr>
            <w:tcW w:type="dxa" w:w="4680"/>
          </w:tcPr>
          <w:p>
            <w:pPr>
              <w:jc w:val="left"/>
            </w:pPr>
            <w:r/>
            <w:r>
              <w:rPr>
                <w:rFonts w:ascii="宋体" w:hAnsi="宋体" w:eastAsia="宋体"/>
                <w:b w:val="0"/>
                <w:sz w:val="20"/>
              </w:rPr>
              <w:t>用户/角色管理、操作留痕、密码复杂度、资金/持仓调整复核</w:t>
            </w:r>
          </w:p>
        </w:tc>
      </w:tr>
      <w:tr>
        <w:tc>
          <w:tcPr>
            <w:tcW w:type="dxa" w:w="4680"/>
          </w:tcPr>
          <w:p>
            <w:pPr>
              <w:jc w:val="left"/>
            </w:pPr>
            <w:r/>
            <w:r>
              <w:rPr>
                <w:rFonts w:ascii="宋体" w:hAnsi="宋体" w:eastAsia="宋体"/>
                <w:b w:val="0"/>
                <w:sz w:val="20"/>
              </w:rPr>
              <w:t>划付中心</w:t>
            </w:r>
          </w:p>
        </w:tc>
        <w:tc>
          <w:tcPr>
            <w:tcW w:type="dxa" w:w="4680"/>
          </w:tcPr>
          <w:p>
            <w:pPr>
              <w:jc w:val="left"/>
            </w:pPr>
            <w:r/>
            <w:r>
              <w:rPr>
                <w:rFonts w:ascii="宋体" w:hAnsi="宋体" w:eastAsia="宋体"/>
                <w:b w:val="0"/>
                <w:sz w:val="20"/>
              </w:rPr>
              <w:t>资金上场/持仓上场/调整、场内外账户关系配置、持仓/成交流水对账</w:t>
            </w:r>
          </w:p>
        </w:tc>
      </w:tr>
      <w:tr>
        <w:tc>
          <w:tcPr>
            <w:tcW w:type="dxa" w:w="4680"/>
          </w:tcPr>
          <w:p>
            <w:pPr>
              <w:jc w:val="left"/>
            </w:pPr>
            <w:r/>
            <w:r>
              <w:rPr>
                <w:rFonts w:ascii="宋体" w:hAnsi="宋体" w:eastAsia="宋体"/>
                <w:b w:val="0"/>
                <w:sz w:val="20"/>
              </w:rPr>
              <w:t>系统设置</w:t>
            </w:r>
          </w:p>
        </w:tc>
        <w:tc>
          <w:tcPr>
            <w:tcW w:type="dxa" w:w="4680"/>
          </w:tcPr>
          <w:p>
            <w:pPr>
              <w:jc w:val="left"/>
            </w:pPr>
            <w:r/>
            <w:r>
              <w:rPr>
                <w:rFonts w:ascii="宋体" w:hAnsi="宋体" w:eastAsia="宋体"/>
                <w:b w:val="0"/>
                <w:sz w:val="20"/>
              </w:rPr>
              <w:t>交易市场/交易日历/币种汇率/分仓通道/保证金/数据备份恢复等</w:t>
            </w:r>
          </w:p>
        </w:tc>
      </w:tr>
    </w:tbl>
    <w:p>
      <w:pPr>
        <w:pStyle w:val="Heading2"/>
      </w:pPr>
      <w:r>
        <w:rPr>
          <w:rFonts w:ascii="黑体" w:hAnsi="黑体" w:eastAsia="黑体"/>
          <w:b/>
          <w:sz w:val="30"/>
        </w:rPr>
        <w:t>3.2 OTCD 管理（场外衍生品簿记）</w:t>
      </w:r>
    </w:p>
    <w:p>
      <w:pPr>
        <w:spacing w:before="0" w:after="120" w:line="360" w:lineRule="auto"/>
        <w:ind w:firstLine="480"/>
        <w:jc w:val="left"/>
      </w:pPr>
      <w:r>
        <w:rPr>
          <w:rFonts w:ascii="宋体" w:hAnsi="宋体" w:eastAsia="宋体"/>
          <w:b w:val="0"/>
          <w:sz w:val="24"/>
        </w:rPr>
        <w:t>OTCD管理模块覆盖场外期权和收益互换两类衍生品的全生命周期管理。</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
              <w:rPr>
                <w:rFonts w:ascii="黑体" w:hAnsi="黑体" w:eastAsia="黑体"/>
                <w:b/>
                <w:sz w:val="20"/>
              </w:rPr>
              <w:t>功能模块</w:t>
            </w:r>
          </w:p>
        </w:tc>
        <w:tc>
          <w:tcPr>
            <w:tcW w:type="dxa" w:w="4680"/>
          </w:tcPr>
          <w:p>
            <w:pPr>
              <w:jc w:val="center"/>
            </w:pPr>
            <w:r/>
            <w:r>
              <w:rPr>
                <w:rFonts w:ascii="黑体" w:hAnsi="黑体" w:eastAsia="黑体"/>
                <w:b/>
                <w:sz w:val="20"/>
              </w:rPr>
              <w:t>核心能力</w:t>
            </w:r>
          </w:p>
        </w:tc>
      </w:tr>
      <w:tr>
        <w:tc>
          <w:tcPr>
            <w:tcW w:type="dxa" w:w="4680"/>
          </w:tcPr>
          <w:p>
            <w:pPr>
              <w:jc w:val="left"/>
            </w:pPr>
            <w:r/>
            <w:r>
              <w:rPr>
                <w:rFonts w:ascii="宋体" w:hAnsi="宋体" w:eastAsia="宋体"/>
                <w:b w:val="0"/>
                <w:sz w:val="20"/>
              </w:rPr>
              <w:t>基础功能</w:t>
            </w:r>
          </w:p>
        </w:tc>
        <w:tc>
          <w:tcPr>
            <w:tcW w:type="dxa" w:w="4680"/>
          </w:tcPr>
          <w:p>
            <w:pPr>
              <w:jc w:val="left"/>
            </w:pPr>
            <w:r/>
            <w:r>
              <w:rPr>
                <w:rFonts w:ascii="宋体" w:hAnsi="宋体" w:eastAsia="宋体"/>
                <w:b w:val="0"/>
                <w:sz w:val="20"/>
              </w:rPr>
              <w:t>权限管理（用户/角色/菜单/按钮级别）、交易簿管理、市场数据管理（标的物/行情资讯/交易日历）</w:t>
            </w:r>
          </w:p>
        </w:tc>
      </w:tr>
      <w:tr>
        <w:tc>
          <w:tcPr>
            <w:tcW w:type="dxa" w:w="4680"/>
          </w:tcPr>
          <w:p>
            <w:pPr>
              <w:jc w:val="left"/>
            </w:pPr>
            <w:r/>
            <w:r>
              <w:rPr>
                <w:rFonts w:ascii="宋体" w:hAnsi="宋体" w:eastAsia="宋体"/>
                <w:b w:val="0"/>
                <w:sz w:val="20"/>
              </w:rPr>
              <w:t>对手方管理</w:t>
            </w:r>
          </w:p>
        </w:tc>
        <w:tc>
          <w:tcPr>
            <w:tcW w:type="dxa" w:w="4680"/>
          </w:tcPr>
          <w:p>
            <w:pPr>
              <w:jc w:val="left"/>
            </w:pPr>
            <w:r/>
            <w:r>
              <w:rPr>
                <w:rFonts w:ascii="宋体" w:hAnsi="宋体" w:eastAsia="宋体"/>
                <w:b w:val="0"/>
                <w:sz w:val="20"/>
              </w:rPr>
              <w:t>对手方信息录入、交易账户管理（一对多框架合约）、信用管理（授信额度）、出入金/调拨管理</w:t>
            </w:r>
          </w:p>
        </w:tc>
      </w:tr>
      <w:tr>
        <w:tc>
          <w:tcPr>
            <w:tcW w:type="dxa" w:w="4680"/>
          </w:tcPr>
          <w:p>
            <w:pPr>
              <w:jc w:val="left"/>
            </w:pPr>
            <w:r/>
            <w:r>
              <w:rPr>
                <w:rFonts w:ascii="宋体" w:hAnsi="宋体" w:eastAsia="宋体"/>
                <w:b w:val="0"/>
                <w:sz w:val="20"/>
              </w:rPr>
              <w:t>期权簿记</w:t>
            </w:r>
          </w:p>
        </w:tc>
        <w:tc>
          <w:tcPr>
            <w:tcW w:type="dxa" w:w="4680"/>
          </w:tcPr>
          <w:p>
            <w:pPr>
              <w:jc w:val="left"/>
            </w:pPr>
            <w:r/>
            <w:r>
              <w:rPr>
                <w:rFonts w:ascii="宋体" w:hAnsi="宋体" w:eastAsia="宋体"/>
                <w:b w:val="0"/>
                <w:sz w:val="20"/>
              </w:rPr>
              <w:t>预簿记 → 合约复核 → 合约管理 → 生命周期管理（变更/提前终止/到期结算）→ 结算复核 → 事件提醒</w:t>
            </w:r>
          </w:p>
        </w:tc>
      </w:tr>
      <w:tr>
        <w:tc>
          <w:tcPr>
            <w:tcW w:type="dxa" w:w="4680"/>
          </w:tcPr>
          <w:p>
            <w:pPr>
              <w:jc w:val="left"/>
            </w:pPr>
            <w:r/>
            <w:r>
              <w:rPr>
                <w:rFonts w:ascii="宋体" w:hAnsi="宋体" w:eastAsia="宋体"/>
                <w:b w:val="0"/>
                <w:sz w:val="20"/>
              </w:rPr>
              <w:t>互换交易</w:t>
            </w:r>
          </w:p>
        </w:tc>
        <w:tc>
          <w:tcPr>
            <w:tcW w:type="dxa" w:w="4680"/>
          </w:tcPr>
          <w:p>
            <w:pPr>
              <w:jc w:val="left"/>
            </w:pPr>
            <w:r/>
            <w:r>
              <w:rPr>
                <w:rFonts w:ascii="宋体" w:hAnsi="宋体" w:eastAsia="宋体"/>
                <w:b w:val="0"/>
                <w:sz w:val="20"/>
              </w:rPr>
              <w:t>框架合约设置（支付方向/计息/保证金/公司行为/佣金）、合约复核审批、持仓簿记（自动/人工/文件三种录入）、持仓管理/估值/事件流水</w:t>
            </w:r>
          </w:p>
        </w:tc>
      </w:tr>
      <w:tr>
        <w:tc>
          <w:tcPr>
            <w:tcW w:type="dxa" w:w="4680"/>
          </w:tcPr>
          <w:p>
            <w:pPr>
              <w:jc w:val="left"/>
            </w:pPr>
            <w:r/>
            <w:r>
              <w:rPr>
                <w:rFonts w:ascii="宋体" w:hAnsi="宋体" w:eastAsia="宋体"/>
                <w:b w:val="0"/>
                <w:sz w:val="20"/>
              </w:rPr>
              <w:t>日终清算</w:t>
            </w:r>
          </w:p>
        </w:tc>
        <w:tc>
          <w:tcPr>
            <w:tcW w:type="dxa" w:w="4680"/>
          </w:tcPr>
          <w:p>
            <w:pPr>
              <w:jc w:val="left"/>
            </w:pPr>
            <w:r/>
            <w:r>
              <w:rPr>
                <w:rFonts w:ascii="宋体" w:hAnsi="宋体" w:eastAsia="宋体"/>
                <w:b w:val="0"/>
                <w:sz w:val="20"/>
              </w:rPr>
              <w:t>清算前准备 → 互换簿记 → 估值 → 资金清算 → 日初操作</w:t>
            </w:r>
          </w:p>
        </w:tc>
      </w:tr>
      <w:tr>
        <w:tc>
          <w:tcPr>
            <w:tcW w:type="dxa" w:w="4680"/>
          </w:tcPr>
          <w:p>
            <w:pPr>
              <w:jc w:val="left"/>
            </w:pPr>
            <w:r/>
            <w:r>
              <w:rPr>
                <w:rFonts w:ascii="宋体" w:hAnsi="宋体" w:eastAsia="宋体"/>
                <w:b w:val="0"/>
                <w:sz w:val="20"/>
              </w:rPr>
              <w:t>交易报表</w:t>
            </w:r>
          </w:p>
        </w:tc>
        <w:tc>
          <w:tcPr>
            <w:tcW w:type="dxa" w:w="4680"/>
          </w:tcPr>
          <w:p>
            <w:pPr>
              <w:jc w:val="left"/>
            </w:pPr>
            <w:r/>
            <w:r>
              <w:rPr>
                <w:rFonts w:ascii="宋体" w:hAnsi="宋体" w:eastAsia="宋体"/>
                <w:b w:val="0"/>
                <w:sz w:val="20"/>
              </w:rPr>
              <w:t>交易确认书（自动生成+模板定制）、估值报告、追保通知书</w:t>
            </w:r>
          </w:p>
        </w:tc>
      </w:tr>
      <w:tr>
        <w:tc>
          <w:tcPr>
            <w:tcW w:type="dxa" w:w="4680"/>
          </w:tcPr>
          <w:p>
            <w:pPr>
              <w:jc w:val="left"/>
            </w:pPr>
            <w:r/>
            <w:r>
              <w:rPr>
                <w:rFonts w:ascii="宋体" w:hAnsi="宋体" w:eastAsia="宋体"/>
                <w:b w:val="0"/>
                <w:sz w:val="20"/>
              </w:rPr>
              <w:t>风险管理</w:t>
            </w:r>
          </w:p>
        </w:tc>
        <w:tc>
          <w:tcPr>
            <w:tcW w:type="dxa" w:w="4680"/>
          </w:tcPr>
          <w:p>
            <w:pPr>
              <w:jc w:val="left"/>
            </w:pPr>
            <w:r/>
            <w:r>
              <w:rPr>
                <w:rFonts w:ascii="宋体" w:hAnsi="宋体" w:eastAsia="宋体"/>
                <w:b w:val="0"/>
                <w:sz w:val="20"/>
              </w:rPr>
              <w:t>黑/白名单、风控触发记录（事前/事中/事后）、多空组合风险监控</w:t>
            </w:r>
          </w:p>
        </w:tc>
      </w:tr>
      <w:tr>
        <w:tc>
          <w:tcPr>
            <w:tcW w:type="dxa" w:w="4680"/>
          </w:tcPr>
          <w:p>
            <w:pPr>
              <w:jc w:val="left"/>
            </w:pPr>
            <w:r/>
            <w:r>
              <w:rPr>
                <w:rFonts w:ascii="宋体" w:hAnsi="宋体" w:eastAsia="宋体"/>
                <w:b w:val="0"/>
                <w:sz w:val="20"/>
              </w:rPr>
              <w:t>流程审批</w:t>
            </w:r>
          </w:p>
        </w:tc>
        <w:tc>
          <w:tcPr>
            <w:tcW w:type="dxa" w:w="4680"/>
          </w:tcPr>
          <w:p>
            <w:pPr>
              <w:jc w:val="left"/>
            </w:pPr>
            <w:r/>
            <w:r>
              <w:rPr>
                <w:rFonts w:ascii="宋体" w:hAnsi="宋体" w:eastAsia="宋体"/>
                <w:b w:val="0"/>
                <w:sz w:val="20"/>
              </w:rPr>
              <w:t>多业务场景审批配置（合约/对手方/风控/出入金），支持多节点+多审批人+审批逻辑</w:t>
            </w:r>
          </w:p>
        </w:tc>
      </w:tr>
    </w:tbl>
    <w:p>
      <w:pPr>
        <w:pStyle w:val="Heading2"/>
      </w:pPr>
      <w:r>
        <w:rPr>
          <w:rFonts w:ascii="黑体" w:hAnsi="黑体" w:eastAsia="黑体"/>
          <w:b/>
          <w:sz w:val="30"/>
        </w:rPr>
        <w:t>3.3 SBL 证券借贷管理平台</w:t>
      </w:r>
    </w:p>
    <w:p>
      <w:pPr>
        <w:spacing w:before="0" w:after="120" w:line="360" w:lineRule="auto"/>
        <w:ind w:firstLine="480"/>
        <w:jc w:val="left"/>
      </w:pPr>
      <w:r>
        <w:rPr>
          <w:rFonts w:ascii="宋体" w:hAnsi="宋体" w:eastAsia="宋体"/>
          <w:b w:val="0"/>
          <w:sz w:val="24"/>
        </w:rPr>
        <w:t>SBL（Securities Borrowing &amp; Lending）是根网独有模块，同余不具备此能力。覆盖A股股票借贷的全流程管理。</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
              <w:rPr>
                <w:rFonts w:ascii="黑体" w:hAnsi="黑体" w:eastAsia="黑体"/>
                <w:b/>
                <w:sz w:val="20"/>
              </w:rPr>
              <w:t>功能模块</w:t>
            </w:r>
          </w:p>
        </w:tc>
        <w:tc>
          <w:tcPr>
            <w:tcW w:type="dxa" w:w="4680"/>
          </w:tcPr>
          <w:p>
            <w:pPr>
              <w:jc w:val="center"/>
            </w:pPr>
            <w:r/>
            <w:r>
              <w:rPr>
                <w:rFonts w:ascii="黑体" w:hAnsi="黑体" w:eastAsia="黑体"/>
                <w:b/>
                <w:sz w:val="20"/>
              </w:rPr>
              <w:t>核心能力</w:t>
            </w:r>
          </w:p>
        </w:tc>
      </w:tr>
      <w:tr>
        <w:tc>
          <w:tcPr>
            <w:tcW w:type="dxa" w:w="4680"/>
          </w:tcPr>
          <w:p>
            <w:pPr>
              <w:jc w:val="left"/>
            </w:pPr>
            <w:r/>
            <w:r>
              <w:rPr>
                <w:rFonts w:ascii="宋体" w:hAnsi="宋体" w:eastAsia="宋体"/>
                <w:b w:val="0"/>
                <w:sz w:val="20"/>
              </w:rPr>
              <w:t>券源台管理</w:t>
            </w:r>
          </w:p>
        </w:tc>
        <w:tc>
          <w:tcPr>
            <w:tcW w:type="dxa" w:w="4680"/>
          </w:tcPr>
          <w:p>
            <w:pPr>
              <w:jc w:val="left"/>
            </w:pPr>
            <w:r/>
            <w:r>
              <w:rPr>
                <w:rFonts w:ascii="宋体" w:hAnsi="宋体" w:eastAsia="宋体"/>
                <w:b w:val="0"/>
                <w:sz w:val="20"/>
              </w:rPr>
              <w:t>券源侧/融入侧管理：可出借券池、可融券清单制作、批量导入导出、自定义字段</w:t>
            </w:r>
          </w:p>
        </w:tc>
      </w:tr>
      <w:tr>
        <w:tc>
          <w:tcPr>
            <w:tcW w:type="dxa" w:w="4680"/>
          </w:tcPr>
          <w:p>
            <w:pPr>
              <w:jc w:val="left"/>
            </w:pPr>
            <w:r/>
            <w:r>
              <w:rPr>
                <w:rFonts w:ascii="宋体" w:hAnsi="宋体" w:eastAsia="宋体"/>
                <w:b w:val="0"/>
                <w:sz w:val="20"/>
              </w:rPr>
              <w:t>客户约券</w:t>
            </w:r>
          </w:p>
        </w:tc>
        <w:tc>
          <w:tcPr>
            <w:tcW w:type="dxa" w:w="4680"/>
          </w:tcPr>
          <w:p>
            <w:pPr>
              <w:jc w:val="left"/>
            </w:pPr>
            <w:r/>
            <w:r>
              <w:rPr>
                <w:rFonts w:ascii="宋体" w:hAnsi="宋体" w:eastAsia="宋体"/>
                <w:b w:val="0"/>
                <w:sz w:val="20"/>
              </w:rPr>
              <w:t>融券申请处理、预匹配券源、借贷计划生成、展期/还券/召回管理</w:t>
            </w:r>
          </w:p>
        </w:tc>
      </w:tr>
      <w:tr>
        <w:tc>
          <w:tcPr>
            <w:tcW w:type="dxa" w:w="4680"/>
          </w:tcPr>
          <w:p>
            <w:pPr>
              <w:jc w:val="left"/>
            </w:pPr>
            <w:r/>
            <w:r>
              <w:rPr>
                <w:rFonts w:ascii="宋体" w:hAnsi="宋体" w:eastAsia="宋体"/>
                <w:b w:val="0"/>
                <w:sz w:val="20"/>
              </w:rPr>
              <w:t>合作方管理</w:t>
            </w:r>
          </w:p>
        </w:tc>
        <w:tc>
          <w:tcPr>
            <w:tcW w:type="dxa" w:w="4680"/>
          </w:tcPr>
          <w:p>
            <w:pPr>
              <w:jc w:val="left"/>
            </w:pPr>
            <w:r/>
            <w:r>
              <w:rPr>
                <w:rFonts w:ascii="宋体" w:hAnsi="宋体" w:eastAsia="宋体"/>
                <w:b w:val="0"/>
                <w:sz w:val="20"/>
              </w:rPr>
              <w:t>券源方/融入方信息管理（新增/编辑/删除/导出）</w:t>
            </w:r>
          </w:p>
        </w:tc>
      </w:tr>
      <w:tr>
        <w:tc>
          <w:tcPr>
            <w:tcW w:type="dxa" w:w="4680"/>
          </w:tcPr>
          <w:p>
            <w:pPr>
              <w:jc w:val="left"/>
            </w:pPr>
            <w:r/>
            <w:r>
              <w:rPr>
                <w:rFonts w:ascii="宋体" w:hAnsi="宋体" w:eastAsia="宋体"/>
                <w:b w:val="0"/>
                <w:sz w:val="20"/>
              </w:rPr>
              <w:t>券息管理</w:t>
            </w:r>
          </w:p>
        </w:tc>
        <w:tc>
          <w:tcPr>
            <w:tcW w:type="dxa" w:w="4680"/>
          </w:tcPr>
          <w:p>
            <w:pPr>
              <w:jc w:val="left"/>
            </w:pPr>
            <w:r/>
            <w:r>
              <w:rPr>
                <w:rFonts w:ascii="宋体" w:hAnsi="宋体" w:eastAsia="宋体"/>
                <w:b w:val="0"/>
                <w:sz w:val="20"/>
              </w:rPr>
              <w:t>券源侧加点、融入侧加点配置</w:t>
            </w:r>
          </w:p>
        </w:tc>
      </w:tr>
      <w:tr>
        <w:tc>
          <w:tcPr>
            <w:tcW w:type="dxa" w:w="4680"/>
          </w:tcPr>
          <w:p>
            <w:pPr>
              <w:jc w:val="left"/>
            </w:pPr>
            <w:r/>
            <w:r>
              <w:rPr>
                <w:rFonts w:ascii="宋体" w:hAnsi="宋体" w:eastAsia="宋体"/>
                <w:b w:val="0"/>
                <w:sz w:val="20"/>
              </w:rPr>
              <w:t>日终处理</w:t>
            </w:r>
          </w:p>
        </w:tc>
        <w:tc>
          <w:tcPr>
            <w:tcW w:type="dxa" w:w="4680"/>
          </w:tcPr>
          <w:p>
            <w:pPr>
              <w:jc w:val="left"/>
            </w:pPr>
            <w:r/>
            <w:r>
              <w:rPr>
                <w:rFonts w:ascii="宋体" w:hAnsi="宋体" w:eastAsia="宋体"/>
                <w:b w:val="0"/>
                <w:sz w:val="20"/>
              </w:rPr>
              <w:t>清算（准备→备份→清算→日初）、数据补录</w:t>
            </w:r>
          </w:p>
        </w:tc>
      </w:tr>
      <w:tr>
        <w:tc>
          <w:tcPr>
            <w:tcW w:type="dxa" w:w="4680"/>
          </w:tcPr>
          <w:p>
            <w:pPr>
              <w:jc w:val="left"/>
            </w:pPr>
            <w:r/>
            <w:r>
              <w:rPr>
                <w:rFonts w:ascii="宋体" w:hAnsi="宋体" w:eastAsia="宋体"/>
                <w:b w:val="0"/>
                <w:sz w:val="20"/>
              </w:rPr>
              <w:t>API/FIX接口</w:t>
            </w:r>
          </w:p>
        </w:tc>
        <w:tc>
          <w:tcPr>
            <w:tcW w:type="dxa" w:w="4680"/>
          </w:tcPr>
          <w:p>
            <w:pPr>
              <w:jc w:val="left"/>
            </w:pPr>
            <w:r/>
            <w:r>
              <w:rPr>
                <w:rFonts w:ascii="宋体" w:hAnsi="宋体" w:eastAsia="宋体"/>
                <w:b w:val="0"/>
                <w:sz w:val="20"/>
              </w:rPr>
              <w:t>13个接口功能：券单查询、约定申请/撤销/展期/归还、持仓查询、批量操作等</w:t>
            </w:r>
          </w:p>
        </w:tc>
      </w:tr>
      <w:tr>
        <w:tc>
          <w:tcPr>
            <w:tcW w:type="dxa" w:w="4680"/>
          </w:tcPr>
          <w:p>
            <w:pPr>
              <w:jc w:val="left"/>
            </w:pPr>
            <w:r/>
            <w:r>
              <w:rPr>
                <w:rFonts w:ascii="宋体" w:hAnsi="宋体" w:eastAsia="宋体"/>
                <w:b w:val="0"/>
                <w:sz w:val="20"/>
              </w:rPr>
              <w:t>消息提醒</w:t>
            </w:r>
          </w:p>
        </w:tc>
        <w:tc>
          <w:tcPr>
            <w:tcW w:type="dxa" w:w="4680"/>
          </w:tcPr>
          <w:p>
            <w:pPr>
              <w:jc w:val="left"/>
            </w:pPr>
            <w:r/>
            <w:r>
              <w:rPr>
                <w:rFonts w:ascii="宋体" w:hAnsi="宋体" w:eastAsia="宋体"/>
                <w:b w:val="0"/>
                <w:sz w:val="20"/>
              </w:rPr>
              <w:t>临期借贷计划/新增约券/过期计划/新增召回提醒，支持声音提示</w:t>
            </w:r>
          </w:p>
        </w:tc>
      </w:tr>
    </w:tbl>
    <w:p>
      <w:pPr>
        <w:pStyle w:val="Heading2"/>
      </w:pPr>
      <w:r>
        <w:rPr>
          <w:rFonts w:ascii="黑体" w:hAnsi="黑体" w:eastAsia="黑体"/>
          <w:b/>
          <w:sz w:val="30"/>
        </w:rPr>
        <w:t>3.4 现货COLO交易</w:t>
      </w:r>
    </w:p>
    <w:p>
      <w:pPr>
        <w:spacing w:before="0" w:after="120" w:line="360" w:lineRule="auto"/>
        <w:ind w:firstLine="480"/>
        <w:jc w:val="left"/>
      </w:pPr>
      <w:r>
        <w:rPr>
          <w:rFonts w:ascii="宋体" w:hAnsi="宋体" w:eastAsia="宋体"/>
          <w:b w:val="0"/>
          <w:sz w:val="24"/>
        </w:rPr>
        <w:t>COLO（Co-location，托管交易）是将交易服务器部署在交易所机房内，以获得极低延迟的交易执行能力。根网的COLO模块为独立产品，同余不覆盖。</w:t>
      </w:r>
    </w:p>
    <w:p>
      <w:pPr>
        <w:spacing w:before="0" w:after="120" w:line="360" w:lineRule="auto"/>
        <w:jc w:val="left"/>
      </w:pPr>
      <w:r>
        <w:rPr>
          <w:rFonts w:ascii="宋体" w:hAnsi="宋体" w:eastAsia="宋体"/>
          <w:b/>
          <w:sz w:val="24"/>
        </w:rPr>
        <w:t>COLO许可核心内容：</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
              <w:rPr>
                <w:rFonts w:ascii="黑体" w:hAnsi="黑体" w:eastAsia="黑体"/>
                <w:b/>
                <w:sz w:val="20"/>
              </w:rPr>
              <w:t>能力项</w:t>
            </w:r>
          </w:p>
        </w:tc>
        <w:tc>
          <w:tcPr>
            <w:tcW w:type="dxa" w:w="4680"/>
          </w:tcPr>
          <w:p>
            <w:pPr>
              <w:jc w:val="center"/>
            </w:pPr>
            <w:r/>
            <w:r>
              <w:rPr>
                <w:rFonts w:ascii="黑体" w:hAnsi="黑体" w:eastAsia="黑体"/>
                <w:b/>
                <w:sz w:val="20"/>
              </w:rPr>
              <w:t>说明</w:t>
            </w:r>
          </w:p>
        </w:tc>
      </w:tr>
      <w:tr>
        <w:tc>
          <w:tcPr>
            <w:tcW w:type="dxa" w:w="4680"/>
          </w:tcPr>
          <w:p>
            <w:pPr>
              <w:jc w:val="left"/>
            </w:pPr>
            <w:r/>
            <w:r>
              <w:rPr>
                <w:rFonts w:ascii="宋体" w:hAnsi="宋体" w:eastAsia="宋体"/>
                <w:b w:val="0"/>
                <w:sz w:val="20"/>
              </w:rPr>
              <w:t>交易所覆盖</w:t>
            </w:r>
          </w:p>
        </w:tc>
        <w:tc>
          <w:tcPr>
            <w:tcW w:type="dxa" w:w="4680"/>
          </w:tcPr>
          <w:p>
            <w:pPr>
              <w:jc w:val="left"/>
            </w:pPr>
            <w:r/>
            <w:r>
              <w:rPr>
                <w:rFonts w:ascii="宋体" w:hAnsi="宋体" w:eastAsia="宋体"/>
                <w:b w:val="0"/>
                <w:sz w:val="20"/>
              </w:rPr>
              <w:t>支持沪深两市COLO股票，上海深圳两地各一个交易节点</w:t>
            </w:r>
          </w:p>
        </w:tc>
      </w:tr>
      <w:tr>
        <w:tc>
          <w:tcPr>
            <w:tcW w:type="dxa" w:w="4680"/>
          </w:tcPr>
          <w:p>
            <w:pPr>
              <w:jc w:val="left"/>
            </w:pPr>
            <w:r/>
            <w:r>
              <w:rPr>
                <w:rFonts w:ascii="宋体" w:hAnsi="宋体" w:eastAsia="宋体"/>
                <w:b w:val="0"/>
                <w:sz w:val="20"/>
              </w:rPr>
              <w:t>多产品支持</w:t>
            </w:r>
          </w:p>
        </w:tc>
        <w:tc>
          <w:tcPr>
            <w:tcW w:type="dxa" w:w="4680"/>
          </w:tcPr>
          <w:p>
            <w:pPr>
              <w:jc w:val="left"/>
            </w:pPr>
            <w:r/>
            <w:r>
              <w:rPr>
                <w:rFonts w:ascii="宋体" w:hAnsi="宋体" w:eastAsia="宋体"/>
                <w:b w:val="0"/>
                <w:sz w:val="20"/>
              </w:rPr>
              <w:t>支持多产品COLO交易，分产品资券管理</w:t>
            </w:r>
          </w:p>
        </w:tc>
      </w:tr>
      <w:tr>
        <w:tc>
          <w:tcPr>
            <w:tcW w:type="dxa" w:w="4680"/>
          </w:tcPr>
          <w:p>
            <w:pPr>
              <w:jc w:val="left"/>
            </w:pPr>
            <w:r/>
            <w:r>
              <w:rPr>
                <w:rFonts w:ascii="宋体" w:hAnsi="宋体" w:eastAsia="宋体"/>
                <w:b w:val="0"/>
                <w:sz w:val="20"/>
              </w:rPr>
              <w:t>极速性能</w:t>
            </w:r>
          </w:p>
        </w:tc>
        <w:tc>
          <w:tcPr>
            <w:tcW w:type="dxa" w:w="4680"/>
          </w:tcPr>
          <w:p>
            <w:pPr>
              <w:jc w:val="left"/>
            </w:pPr>
            <w:r/>
            <w:r>
              <w:rPr>
                <w:rFonts w:ascii="宋体" w:hAnsi="宋体" w:eastAsia="宋体"/>
                <w:b w:val="0"/>
                <w:sz w:val="20"/>
              </w:rPr>
              <w:t>订单上行穿透 TP50 &lt; 10μs</w:t>
            </w:r>
          </w:p>
        </w:tc>
      </w:tr>
      <w:tr>
        <w:tc>
          <w:tcPr>
            <w:tcW w:type="dxa" w:w="4680"/>
          </w:tcPr>
          <w:p>
            <w:pPr>
              <w:jc w:val="left"/>
            </w:pPr>
            <w:r/>
            <w:r>
              <w:rPr>
                <w:rFonts w:ascii="宋体" w:hAnsi="宋体" w:eastAsia="宋体"/>
                <w:b w:val="0"/>
                <w:sz w:val="20"/>
              </w:rPr>
              <w:t>Algo算法</w:t>
            </w:r>
          </w:p>
        </w:tc>
        <w:tc>
          <w:tcPr>
            <w:tcW w:type="dxa" w:w="4680"/>
          </w:tcPr>
          <w:p>
            <w:pPr>
              <w:jc w:val="left"/>
            </w:pPr>
            <w:r/>
            <w:r>
              <w:rPr>
                <w:rFonts w:ascii="宋体" w:hAnsi="宋体" w:eastAsia="宋体"/>
                <w:b w:val="0"/>
                <w:sz w:val="20"/>
              </w:rPr>
              <w:t>支持COLO极速环境下的常见Algo算法交易</w:t>
            </w:r>
          </w:p>
        </w:tc>
      </w:tr>
      <w:tr>
        <w:tc>
          <w:tcPr>
            <w:tcW w:type="dxa" w:w="4680"/>
          </w:tcPr>
          <w:p>
            <w:pPr>
              <w:jc w:val="left"/>
            </w:pPr>
            <w:r/>
            <w:r>
              <w:rPr>
                <w:rFonts w:ascii="宋体" w:hAnsi="宋体" w:eastAsia="宋体"/>
                <w:b w:val="0"/>
                <w:sz w:val="20"/>
              </w:rPr>
              <w:t>DropCopy</w:t>
            </w:r>
          </w:p>
        </w:tc>
        <w:tc>
          <w:tcPr>
            <w:tcW w:type="dxa" w:w="4680"/>
          </w:tcPr>
          <w:p>
            <w:pPr>
              <w:jc w:val="left"/>
            </w:pPr>
            <w:r/>
            <w:r>
              <w:rPr>
                <w:rFonts w:ascii="宋体" w:hAnsi="宋体" w:eastAsia="宋体"/>
                <w:b w:val="0"/>
                <w:sz w:val="20"/>
              </w:rPr>
              <w:t>支持COLO DropCopy</w:t>
            </w:r>
          </w:p>
        </w:tc>
      </w:tr>
      <w:tr>
        <w:tc>
          <w:tcPr>
            <w:tcW w:type="dxa" w:w="4680"/>
          </w:tcPr>
          <w:p>
            <w:pPr>
              <w:jc w:val="left"/>
            </w:pPr>
            <w:r/>
            <w:r>
              <w:rPr>
                <w:rFonts w:ascii="宋体" w:hAnsi="宋体" w:eastAsia="宋体"/>
                <w:b w:val="0"/>
                <w:sz w:val="20"/>
              </w:rPr>
              <w:t>实时监控</w:t>
            </w:r>
          </w:p>
        </w:tc>
        <w:tc>
          <w:tcPr>
            <w:tcW w:type="dxa" w:w="4680"/>
          </w:tcPr>
          <w:p>
            <w:pPr>
              <w:jc w:val="left"/>
            </w:pPr>
            <w:r/>
            <w:r>
              <w:rPr>
                <w:rFonts w:ascii="宋体" w:hAnsi="宋体" w:eastAsia="宋体"/>
                <w:b w:val="0"/>
                <w:sz w:val="20"/>
              </w:rPr>
              <w:t>支持实时云端交易监控，风控集中处理</w:t>
            </w:r>
          </w:p>
        </w:tc>
      </w:tr>
      <w:tr>
        <w:tc>
          <w:tcPr>
            <w:tcW w:type="dxa" w:w="4680"/>
          </w:tcPr>
          <w:p>
            <w:pPr>
              <w:jc w:val="left"/>
            </w:pPr>
            <w:r/>
            <w:r>
              <w:rPr>
                <w:rFonts w:ascii="宋体" w:hAnsi="宋体" w:eastAsia="宋体"/>
                <w:b w:val="0"/>
                <w:sz w:val="20"/>
              </w:rPr>
              <w:t>运维保障</w:t>
            </w:r>
          </w:p>
        </w:tc>
        <w:tc>
          <w:tcPr>
            <w:tcW w:type="dxa" w:w="4680"/>
          </w:tcPr>
          <w:p>
            <w:pPr>
              <w:jc w:val="left"/>
            </w:pPr>
            <w:r/>
            <w:r>
              <w:rPr>
                <w:rFonts w:ascii="宋体" w:hAnsi="宋体" w:eastAsia="宋体"/>
                <w:b w:val="0"/>
                <w:sz w:val="20"/>
              </w:rPr>
              <w:t>日常运维处理、系统监控、故障排查、安全补丁更新、性能优化</w:t>
            </w:r>
          </w:p>
        </w:tc>
      </w:tr>
      <w:tr>
        <w:tc>
          <w:tcPr>
            <w:tcW w:type="dxa" w:w="4680"/>
          </w:tcPr>
          <w:p>
            <w:pPr>
              <w:jc w:val="left"/>
            </w:pPr>
            <w:r/>
            <w:r>
              <w:rPr>
                <w:rFonts w:ascii="宋体" w:hAnsi="宋体" w:eastAsia="宋体"/>
                <w:b w:val="0"/>
                <w:sz w:val="20"/>
              </w:rPr>
              <w:t>策略对接</w:t>
            </w:r>
          </w:p>
        </w:tc>
        <w:tc>
          <w:tcPr>
            <w:tcW w:type="dxa" w:w="4680"/>
          </w:tcPr>
          <w:p>
            <w:pPr>
              <w:jc w:val="left"/>
            </w:pPr>
            <w:r/>
            <w:r>
              <w:rPr>
                <w:rFonts w:ascii="宋体" w:hAnsi="宋体" w:eastAsia="宋体"/>
                <w:b w:val="0"/>
                <w:sz w:val="20"/>
              </w:rPr>
              <w:t>支持多套策略对接授权、部署和调试，包括专线接入COLO机房</w:t>
            </w:r>
          </w:p>
        </w:tc>
      </w:tr>
      <w:tr>
        <w:tc>
          <w:tcPr>
            <w:tcW w:type="dxa" w:w="4680"/>
          </w:tcPr>
          <w:p>
            <w:pPr>
              <w:jc w:val="left"/>
            </w:pPr>
            <w:r/>
            <w:r>
              <w:rPr>
                <w:rFonts w:ascii="宋体" w:hAnsi="宋体" w:eastAsia="宋体"/>
                <w:b w:val="0"/>
                <w:sz w:val="20"/>
              </w:rPr>
              <w:t>数据交互</w:t>
            </w:r>
          </w:p>
        </w:tc>
        <w:tc>
          <w:tcPr>
            <w:tcW w:type="dxa" w:w="4680"/>
          </w:tcPr>
          <w:p>
            <w:pPr>
              <w:jc w:val="left"/>
            </w:pPr>
            <w:r/>
            <w:r>
              <w:rPr>
                <w:rFonts w:ascii="宋体" w:hAnsi="宋体" w:eastAsia="宋体"/>
                <w:b w:val="0"/>
                <w:sz w:val="20"/>
              </w:rPr>
              <w:t>支持COLO数据上场下场交互及主备机房部署</w:t>
            </w:r>
          </w:p>
        </w:tc>
      </w:tr>
    </w:tbl>
    <w:p>
      <w:pPr>
        <w:pStyle w:val="Heading2"/>
      </w:pPr>
      <w:r>
        <w:rPr>
          <w:rFonts w:ascii="黑体" w:hAnsi="黑体" w:eastAsia="黑体"/>
          <w:b/>
          <w:sz w:val="30"/>
        </w:rPr>
        <w:t>3.5 BrokerFill 融券自动撮合</w:t>
      </w:r>
    </w:p>
    <w:p>
      <w:pPr>
        <w:spacing w:before="0" w:after="120" w:line="360" w:lineRule="auto"/>
        <w:ind w:firstLine="480"/>
        <w:jc w:val="left"/>
      </w:pPr>
      <w:r>
        <w:rPr>
          <w:rFonts w:ascii="宋体" w:hAnsi="宋体" w:eastAsia="宋体"/>
          <w:b w:val="0"/>
          <w:sz w:val="24"/>
        </w:rPr>
        <w:t>BrokerFill是IMS交易策略中的重要模块，在融券业务场景下，当订单符合特定条件后自动撮合出券方和借券方。架构图上未独立展示，但在功能清单中为完整独立模块。</w:t>
      </w:r>
    </w:p>
    <w:p>
      <w:pPr>
        <w:spacing w:before="0" w:after="120" w:line="360" w:lineRule="auto"/>
        <w:ind w:firstLine="480"/>
        <w:jc w:val="left"/>
      </w:pPr>
      <w:r>
        <w:rPr>
          <w:rFonts w:ascii="宋体" w:hAnsi="宋体" w:eastAsia="宋体"/>
          <w:b w:val="0"/>
          <w:sz w:val="24"/>
        </w:rPr>
        <w:t>交易范围：A股 short sell 交易。</w:t>
      </w:r>
    </w:p>
    <w:p>
      <w:pPr>
        <w:spacing w:before="0" w:after="120" w:line="360" w:lineRule="auto"/>
        <w:ind w:firstLine="480"/>
        <w:jc w:val="left"/>
      </w:pPr>
      <w:r>
        <w:rPr>
          <w:rFonts w:ascii="宋体" w:hAnsi="宋体" w:eastAsia="宋体"/>
          <w:b w:val="0"/>
          <w:sz w:val="24"/>
        </w:rPr>
        <w:t>BrokerFill与SBL的关系：SBL管理券源池和约券流程，BrokerFill在交易层面自动撮合——当SBL无法满足券源时，BrokerFill自动匹配出券方，实现做空对冲。</w:t>
      </w:r>
    </w:p>
    <w:p>
      <w:r>
        <w:br w:type="page"/>
      </w:r>
    </w:p>
    <w:p>
      <w:pPr>
        <w:pStyle w:val="Heading2"/>
      </w:pPr>
      <w:r>
        <w:rPr>
          <w:rFonts w:ascii="黑体" w:hAnsi="黑体" w:eastAsia="黑体"/>
          <w:b/>
          <w:sz w:val="30"/>
        </w:rPr>
        <w:t>3.6 风控体系（IMS + OTCD + COLO）</w:t>
      </w:r>
    </w:p>
    <w:p>
      <w:pPr>
        <w:spacing w:before="0" w:after="120" w:line="360" w:lineRule="auto"/>
        <w:ind w:firstLine="480"/>
        <w:jc w:val="left"/>
      </w:pPr>
      <w:r>
        <w:rPr>
          <w:rFonts w:ascii="宋体" w:hAnsi="宋体" w:eastAsia="宋体"/>
          <w:b w:val="0"/>
          <w:sz w:val="24"/>
        </w:rPr>
        <w:t>根网盈通实现三层风控体系，覆盖事前、事中、事后全流程：</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rFonts w:ascii="黑体" w:hAnsi="黑体" w:eastAsia="黑体"/>
                <w:b/>
                <w:sz w:val="20"/>
              </w:rPr>
              <w:t>层级</w:t>
            </w:r>
          </w:p>
        </w:tc>
        <w:tc>
          <w:tcPr>
            <w:tcW w:type="dxa" w:w="2340"/>
          </w:tcPr>
          <w:p>
            <w:pPr>
              <w:jc w:val="center"/>
            </w:pPr>
            <w:r/>
            <w:r>
              <w:rPr>
                <w:rFonts w:ascii="黑体" w:hAnsi="黑体" w:eastAsia="黑体"/>
                <w:b/>
                <w:sz w:val="20"/>
              </w:rPr>
              <w:t>类型</w:t>
            </w:r>
          </w:p>
        </w:tc>
        <w:tc>
          <w:tcPr>
            <w:tcW w:type="dxa" w:w="2340"/>
          </w:tcPr>
          <w:p>
            <w:pPr>
              <w:jc w:val="center"/>
            </w:pPr>
            <w:r/>
            <w:r>
              <w:rPr>
                <w:rFonts w:ascii="黑体" w:hAnsi="黑体" w:eastAsia="黑体"/>
                <w:b/>
                <w:sz w:val="20"/>
              </w:rPr>
              <w:t>范围</w:t>
            </w:r>
          </w:p>
        </w:tc>
        <w:tc>
          <w:tcPr>
            <w:tcW w:type="dxa" w:w="2340"/>
          </w:tcPr>
          <w:p>
            <w:pPr>
              <w:jc w:val="center"/>
            </w:pPr>
            <w:r/>
            <w:r>
              <w:rPr>
                <w:rFonts w:ascii="黑体" w:hAnsi="黑体" w:eastAsia="黑体"/>
                <w:b/>
                <w:sz w:val="20"/>
              </w:rPr>
              <w:t>核心规则</w:t>
            </w:r>
          </w:p>
        </w:tc>
      </w:tr>
      <w:tr>
        <w:tc>
          <w:tcPr>
            <w:tcW w:type="dxa" w:w="2340"/>
          </w:tcPr>
          <w:p>
            <w:pPr>
              <w:jc w:val="left"/>
            </w:pPr>
            <w:r/>
            <w:r>
              <w:rPr>
                <w:rFonts w:ascii="宋体" w:hAnsi="宋体" w:eastAsia="宋体"/>
                <w:b w:val="0"/>
                <w:sz w:val="20"/>
              </w:rPr>
              <w:t>第一层</w:t>
            </w:r>
          </w:p>
        </w:tc>
        <w:tc>
          <w:tcPr>
            <w:tcW w:type="dxa" w:w="2340"/>
          </w:tcPr>
          <w:p>
            <w:pPr>
              <w:jc w:val="left"/>
            </w:pPr>
            <w:r/>
            <w:r>
              <w:rPr>
                <w:rFonts w:ascii="宋体" w:hAnsi="宋体" w:eastAsia="宋体"/>
                <w:b w:val="0"/>
                <w:sz w:val="20"/>
              </w:rPr>
              <w:t>IMS 事前风控</w:t>
            </w:r>
          </w:p>
        </w:tc>
        <w:tc>
          <w:tcPr>
            <w:tcW w:type="dxa" w:w="2340"/>
          </w:tcPr>
          <w:p>
            <w:pPr>
              <w:jc w:val="left"/>
            </w:pPr>
            <w:r/>
            <w:r>
              <w:rPr>
                <w:rFonts w:ascii="宋体" w:hAnsi="宋体" w:eastAsia="宋体"/>
                <w:b w:val="0"/>
                <w:sz w:val="20"/>
              </w:rPr>
              <w:t>场内交易</w:t>
            </w:r>
          </w:p>
        </w:tc>
        <w:tc>
          <w:tcPr>
            <w:tcW w:type="dxa" w:w="2340"/>
          </w:tcPr>
          <w:p>
            <w:pPr>
              <w:jc w:val="left"/>
            </w:pPr>
            <w:r/>
            <w:r>
              <w:rPr>
                <w:rFonts w:ascii="宋体" w:hAnsi="宋体" w:eastAsia="宋体"/>
                <w:b w:val="0"/>
                <w:sz w:val="20"/>
              </w:rPr>
              <w:t>持仓数量控制、交易额度/交易量控制、黑白名单、执行价格控制、证券买卖控制、防对敲、资金控制（账号/规模）、委托/撤单次数控制</w:t>
            </w:r>
          </w:p>
        </w:tc>
      </w:tr>
      <w:tr>
        <w:tc>
          <w:tcPr>
            <w:tcW w:type="dxa" w:w="2340"/>
          </w:tcPr>
          <w:p>
            <w:pPr>
              <w:jc w:val="left"/>
            </w:pPr>
            <w:r/>
            <w:r>
              <w:rPr>
                <w:rFonts w:ascii="宋体" w:hAnsi="宋体" w:eastAsia="宋体"/>
                <w:b w:val="0"/>
                <w:sz w:val="20"/>
              </w:rPr>
              <w:t>第二层</w:t>
            </w:r>
          </w:p>
        </w:tc>
        <w:tc>
          <w:tcPr>
            <w:tcW w:type="dxa" w:w="2340"/>
          </w:tcPr>
          <w:p>
            <w:pPr>
              <w:jc w:val="left"/>
            </w:pPr>
            <w:r/>
            <w:r>
              <w:rPr>
                <w:rFonts w:ascii="宋体" w:hAnsi="宋体" w:eastAsia="宋体"/>
                <w:b w:val="0"/>
                <w:sz w:val="20"/>
              </w:rPr>
              <w:t>COLO 事前风控</w:t>
            </w:r>
          </w:p>
        </w:tc>
        <w:tc>
          <w:tcPr>
            <w:tcW w:type="dxa" w:w="2340"/>
          </w:tcPr>
          <w:p>
            <w:pPr>
              <w:jc w:val="left"/>
            </w:pPr>
            <w:r/>
            <w:r>
              <w:rPr>
                <w:rFonts w:ascii="宋体" w:hAnsi="宋体" w:eastAsia="宋体"/>
                <w:b w:val="0"/>
                <w:sz w:val="20"/>
              </w:rPr>
              <w:t>COLO托管交易</w:t>
            </w:r>
          </w:p>
        </w:tc>
        <w:tc>
          <w:tcPr>
            <w:tcW w:type="dxa" w:w="2340"/>
          </w:tcPr>
          <w:p>
            <w:pPr>
              <w:jc w:val="left"/>
            </w:pPr>
            <w:r/>
            <w:r>
              <w:rPr>
                <w:rFonts w:ascii="宋体" w:hAnsi="宋体" w:eastAsia="宋体"/>
                <w:b w:val="0"/>
                <w:sz w:val="20"/>
              </w:rPr>
              <w:t>撤单次数/委托次数/单位时间委托次数控制、委托撤单比、频繁瞬时撤单（数量比+金额比）、持仓数量/市值控制、交易量/交易额控制、防对敲</w:t>
            </w:r>
          </w:p>
        </w:tc>
      </w:tr>
      <w:tr>
        <w:tc>
          <w:tcPr>
            <w:tcW w:type="dxa" w:w="2340"/>
          </w:tcPr>
          <w:p>
            <w:pPr>
              <w:jc w:val="left"/>
            </w:pPr>
            <w:r/>
            <w:r>
              <w:rPr>
                <w:rFonts w:ascii="宋体" w:hAnsi="宋体" w:eastAsia="宋体"/>
                <w:b w:val="0"/>
                <w:sz w:val="20"/>
              </w:rPr>
              <w:t>第三层</w:t>
            </w:r>
          </w:p>
        </w:tc>
        <w:tc>
          <w:tcPr>
            <w:tcW w:type="dxa" w:w="2340"/>
          </w:tcPr>
          <w:p>
            <w:pPr>
              <w:jc w:val="left"/>
            </w:pPr>
            <w:r/>
            <w:r>
              <w:rPr>
                <w:rFonts w:ascii="宋体" w:hAnsi="宋体" w:eastAsia="宋体"/>
                <w:b w:val="0"/>
                <w:sz w:val="20"/>
              </w:rPr>
              <w:t>OTCD 事后风控</w:t>
            </w:r>
          </w:p>
        </w:tc>
        <w:tc>
          <w:tcPr>
            <w:tcW w:type="dxa" w:w="2340"/>
          </w:tcPr>
          <w:p>
            <w:pPr>
              <w:jc w:val="left"/>
            </w:pPr>
            <w:r/>
            <w:r>
              <w:rPr>
                <w:rFonts w:ascii="宋体" w:hAnsi="宋体" w:eastAsia="宋体"/>
                <w:b w:val="0"/>
                <w:sz w:val="20"/>
              </w:rPr>
              <w:t>场外衍生品</w:t>
            </w:r>
          </w:p>
        </w:tc>
        <w:tc>
          <w:tcPr>
            <w:tcW w:type="dxa" w:w="2340"/>
          </w:tcPr>
          <w:p>
            <w:pPr>
              <w:jc w:val="left"/>
            </w:pPr>
            <w:r/>
            <w:r>
              <w:rPr>
                <w:rFonts w:ascii="宋体" w:hAnsi="宋体" w:eastAsia="宋体"/>
                <w:b w:val="0"/>
                <w:sz w:val="20"/>
              </w:rPr>
              <w:t>黑/白名单、日终多空组合风险监控（多空标的数量/集中度/相关系数/名义本金比例）、实时多空组合风险监控</w:t>
            </w:r>
          </w:p>
        </w:tc>
      </w:tr>
    </w:tbl>
    <w:p>
      <w:pPr>
        <w:pStyle w:val="Heading2"/>
      </w:pPr>
      <w:r>
        <w:rPr>
          <w:rFonts w:ascii="黑体" w:hAnsi="黑体" w:eastAsia="黑体"/>
          <w:b/>
          <w:sz w:val="30"/>
        </w:rPr>
        <w:t>3.7 运维监控平台</w:t>
      </w:r>
    </w:p>
    <w:p>
      <w:pPr>
        <w:spacing w:before="0" w:after="120" w:line="360" w:lineRule="auto"/>
        <w:ind w:firstLine="480"/>
        <w:jc w:val="left"/>
      </w:pPr>
      <w:r>
        <w:rPr>
          <w:rFonts w:ascii="宋体" w:hAnsi="宋体" w:eastAsia="宋体"/>
          <w:b w:val="0"/>
          <w:sz w:val="24"/>
        </w:rPr>
        <w:t>运维监控平台是根网独有模块，为独立产品，同余不覆盖。提供从基础设施到业务层面的全方位监控能力。</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
              <w:rPr>
                <w:rFonts w:ascii="黑体" w:hAnsi="黑体" w:eastAsia="黑体"/>
                <w:b/>
                <w:sz w:val="20"/>
              </w:rPr>
              <w:t>功能模块</w:t>
            </w:r>
          </w:p>
        </w:tc>
        <w:tc>
          <w:tcPr>
            <w:tcW w:type="dxa" w:w="4680"/>
          </w:tcPr>
          <w:p>
            <w:pPr>
              <w:jc w:val="center"/>
            </w:pPr>
            <w:r/>
            <w:r>
              <w:rPr>
                <w:rFonts w:ascii="黑体" w:hAnsi="黑体" w:eastAsia="黑体"/>
                <w:b/>
                <w:sz w:val="20"/>
              </w:rPr>
              <w:t>核心能力</w:t>
            </w:r>
          </w:p>
        </w:tc>
      </w:tr>
      <w:tr>
        <w:tc>
          <w:tcPr>
            <w:tcW w:type="dxa" w:w="4680"/>
          </w:tcPr>
          <w:p>
            <w:pPr>
              <w:jc w:val="left"/>
            </w:pPr>
            <w:r/>
            <w:r>
              <w:rPr>
                <w:rFonts w:ascii="宋体" w:hAnsi="宋体" w:eastAsia="宋体"/>
                <w:b w:val="0"/>
                <w:sz w:val="20"/>
              </w:rPr>
              <w:t>首页监控大屏</w:t>
            </w:r>
          </w:p>
        </w:tc>
        <w:tc>
          <w:tcPr>
            <w:tcW w:type="dxa" w:w="4680"/>
          </w:tcPr>
          <w:p>
            <w:pPr>
              <w:jc w:val="left"/>
            </w:pPr>
            <w:r/>
            <w:r>
              <w:rPr>
                <w:rFonts w:ascii="宋体" w:hAnsi="宋体" w:eastAsia="宋体"/>
                <w:b w:val="0"/>
                <w:sz w:val="20"/>
              </w:rPr>
              <w:t>机器资源/服务器组件异常概览、异常订单监控、链路监控、订单统计</w:t>
            </w:r>
          </w:p>
        </w:tc>
      </w:tr>
      <w:tr>
        <w:tc>
          <w:tcPr>
            <w:tcW w:type="dxa" w:w="4680"/>
          </w:tcPr>
          <w:p>
            <w:pPr>
              <w:jc w:val="left"/>
            </w:pPr>
            <w:r/>
            <w:r>
              <w:rPr>
                <w:rFonts w:ascii="宋体" w:hAnsi="宋体" w:eastAsia="宋体"/>
                <w:b w:val="0"/>
                <w:sz w:val="20"/>
              </w:rPr>
              <w:t>机器资源监控</w:t>
            </w:r>
          </w:p>
        </w:tc>
        <w:tc>
          <w:tcPr>
            <w:tcW w:type="dxa" w:w="4680"/>
          </w:tcPr>
          <w:p>
            <w:pPr>
              <w:jc w:val="left"/>
            </w:pPr>
            <w:r/>
            <w:r>
              <w:rPr>
                <w:rFonts w:ascii="宋体" w:hAnsi="宋体" w:eastAsia="宋体"/>
                <w:b w:val="0"/>
                <w:sz w:val="20"/>
              </w:rPr>
              <w:t>服务器CPU/内存/磁盘等资源监控</w:t>
            </w:r>
          </w:p>
        </w:tc>
      </w:tr>
      <w:tr>
        <w:tc>
          <w:tcPr>
            <w:tcW w:type="dxa" w:w="4680"/>
          </w:tcPr>
          <w:p>
            <w:pPr>
              <w:jc w:val="left"/>
            </w:pPr>
            <w:r/>
            <w:r>
              <w:rPr>
                <w:rFonts w:ascii="宋体" w:hAnsi="宋体" w:eastAsia="宋体"/>
                <w:b w:val="0"/>
                <w:sz w:val="20"/>
              </w:rPr>
              <w:t>应用进程监控</w:t>
            </w:r>
          </w:p>
        </w:tc>
        <w:tc>
          <w:tcPr>
            <w:tcW w:type="dxa" w:w="4680"/>
          </w:tcPr>
          <w:p>
            <w:pPr>
              <w:jc w:val="left"/>
            </w:pPr>
            <w:r/>
            <w:r>
              <w:rPr>
                <w:rFonts w:ascii="宋体" w:hAnsi="宋体" w:eastAsia="宋体"/>
                <w:b w:val="0"/>
                <w:sz w:val="20"/>
              </w:rPr>
              <w:t>各应用组件的运行状态监控</w:t>
            </w:r>
          </w:p>
        </w:tc>
      </w:tr>
      <w:tr>
        <w:tc>
          <w:tcPr>
            <w:tcW w:type="dxa" w:w="4680"/>
          </w:tcPr>
          <w:p>
            <w:pPr>
              <w:jc w:val="left"/>
            </w:pPr>
            <w:r/>
            <w:r>
              <w:rPr>
                <w:rFonts w:ascii="宋体" w:hAnsi="宋体" w:eastAsia="宋体"/>
                <w:b w:val="0"/>
                <w:sz w:val="20"/>
              </w:rPr>
              <w:t>FIX会话监控</w:t>
            </w:r>
          </w:p>
        </w:tc>
        <w:tc>
          <w:tcPr>
            <w:tcW w:type="dxa" w:w="4680"/>
          </w:tcPr>
          <w:p>
            <w:pPr>
              <w:jc w:val="left"/>
            </w:pPr>
            <w:r/>
            <w:r>
              <w:rPr>
                <w:rFonts w:ascii="宋体" w:hAnsi="宋体" w:eastAsia="宋体"/>
                <w:b w:val="0"/>
                <w:sz w:val="20"/>
              </w:rPr>
              <w:t>FIX客户端登录状态实时监控</w:t>
            </w:r>
          </w:p>
        </w:tc>
      </w:tr>
      <w:tr>
        <w:tc>
          <w:tcPr>
            <w:tcW w:type="dxa" w:w="4680"/>
          </w:tcPr>
          <w:p>
            <w:pPr>
              <w:jc w:val="left"/>
            </w:pPr>
            <w:r/>
            <w:r>
              <w:rPr>
                <w:rFonts w:ascii="宋体" w:hAnsi="宋体" w:eastAsia="宋体"/>
                <w:b w:val="0"/>
                <w:sz w:val="20"/>
              </w:rPr>
              <w:t>业务检查</w:t>
            </w:r>
          </w:p>
        </w:tc>
        <w:tc>
          <w:tcPr>
            <w:tcW w:type="dxa" w:w="4680"/>
          </w:tcPr>
          <w:p>
            <w:pPr>
              <w:jc w:val="left"/>
            </w:pPr>
            <w:r/>
            <w:r>
              <w:rPr>
                <w:rFonts w:ascii="宋体" w:hAnsi="宋体" w:eastAsia="宋体"/>
                <w:b w:val="0"/>
                <w:sz w:val="20"/>
              </w:rPr>
              <w:t>盘前检查项、盘中检查项、盘后检查项</w:t>
            </w:r>
          </w:p>
        </w:tc>
      </w:tr>
      <w:tr>
        <w:tc>
          <w:tcPr>
            <w:tcW w:type="dxa" w:w="4680"/>
          </w:tcPr>
          <w:p>
            <w:pPr>
              <w:jc w:val="left"/>
            </w:pPr>
            <w:r/>
            <w:r>
              <w:rPr>
                <w:rFonts w:ascii="宋体" w:hAnsi="宋体" w:eastAsia="宋体"/>
                <w:b w:val="0"/>
                <w:sz w:val="20"/>
              </w:rPr>
              <w:t>对冲在线检测</w:t>
            </w:r>
          </w:p>
        </w:tc>
        <w:tc>
          <w:tcPr>
            <w:tcW w:type="dxa" w:w="4680"/>
          </w:tcPr>
          <w:p>
            <w:pPr>
              <w:jc w:val="left"/>
            </w:pPr>
            <w:r/>
            <w:r>
              <w:rPr>
                <w:rFonts w:ascii="宋体" w:hAnsi="宋体" w:eastAsia="宋体"/>
                <w:b w:val="0"/>
                <w:sz w:val="20"/>
              </w:rPr>
              <w:t>对冲客户端登录状态监控</w:t>
            </w:r>
          </w:p>
        </w:tc>
      </w:tr>
      <w:tr>
        <w:tc>
          <w:tcPr>
            <w:tcW w:type="dxa" w:w="4680"/>
          </w:tcPr>
          <w:p>
            <w:pPr>
              <w:jc w:val="left"/>
            </w:pPr>
            <w:r/>
            <w:r>
              <w:rPr>
                <w:rFonts w:ascii="宋体" w:hAnsi="宋体" w:eastAsia="宋体"/>
                <w:b w:val="0"/>
                <w:sz w:val="20"/>
              </w:rPr>
              <w:t>交易链路</w:t>
            </w:r>
          </w:p>
        </w:tc>
        <w:tc>
          <w:tcPr>
            <w:tcW w:type="dxa" w:w="4680"/>
          </w:tcPr>
          <w:p>
            <w:pPr>
              <w:jc w:val="left"/>
            </w:pPr>
            <w:r/>
            <w:r>
              <w:rPr>
                <w:rFonts w:ascii="宋体" w:hAnsi="宋体" w:eastAsia="宋体"/>
                <w:b w:val="0"/>
                <w:sz w:val="20"/>
              </w:rPr>
              <w:t>订单链路组件耗时统计（分FIXAC/FIXGW、分接口、分市场、分时段）</w:t>
            </w:r>
          </w:p>
        </w:tc>
      </w:tr>
      <w:tr>
        <w:tc>
          <w:tcPr>
            <w:tcW w:type="dxa" w:w="4680"/>
          </w:tcPr>
          <w:p>
            <w:pPr>
              <w:jc w:val="left"/>
            </w:pPr>
            <w:r/>
            <w:r>
              <w:rPr>
                <w:rFonts w:ascii="宋体" w:hAnsi="宋体" w:eastAsia="宋体"/>
                <w:b w:val="0"/>
                <w:sz w:val="20"/>
              </w:rPr>
              <w:t>异常订单</w:t>
            </w:r>
          </w:p>
        </w:tc>
        <w:tc>
          <w:tcPr>
            <w:tcW w:type="dxa" w:w="4680"/>
          </w:tcPr>
          <w:p>
            <w:pPr>
              <w:jc w:val="left"/>
            </w:pPr>
            <w:r/>
            <w:r>
              <w:rPr>
                <w:rFonts w:ascii="宋体" w:hAnsi="宋体" w:eastAsia="宋体"/>
                <w:b w:val="0"/>
                <w:sz w:val="20"/>
              </w:rPr>
              <w:t>当日交易拒单信息查询</w:t>
            </w:r>
          </w:p>
        </w:tc>
      </w:tr>
      <w:tr>
        <w:tc>
          <w:tcPr>
            <w:tcW w:type="dxa" w:w="4680"/>
          </w:tcPr>
          <w:p>
            <w:pPr>
              <w:jc w:val="left"/>
            </w:pPr>
            <w:r/>
            <w:r>
              <w:rPr>
                <w:rFonts w:ascii="宋体" w:hAnsi="宋体" w:eastAsia="宋体"/>
                <w:b w:val="0"/>
                <w:sz w:val="20"/>
              </w:rPr>
              <w:t>告警记录</w:t>
            </w:r>
          </w:p>
        </w:tc>
        <w:tc>
          <w:tcPr>
            <w:tcW w:type="dxa" w:w="4680"/>
          </w:tcPr>
          <w:p>
            <w:pPr>
              <w:jc w:val="left"/>
            </w:pPr>
            <w:r/>
            <w:r>
              <w:rPr>
                <w:rFonts w:ascii="宋体" w:hAnsi="宋体" w:eastAsia="宋体"/>
                <w:b w:val="0"/>
                <w:sz w:val="20"/>
              </w:rPr>
              <w:t>交易拒单场景告警（对冲端拒绝、FIX拒单）</w:t>
            </w:r>
          </w:p>
        </w:tc>
      </w:tr>
      <w:tr>
        <w:tc>
          <w:tcPr>
            <w:tcW w:type="dxa" w:w="4680"/>
          </w:tcPr>
          <w:p>
            <w:pPr>
              <w:jc w:val="left"/>
            </w:pPr>
            <w:r/>
            <w:r>
              <w:rPr>
                <w:rFonts w:ascii="宋体" w:hAnsi="宋体" w:eastAsia="宋体"/>
                <w:b w:val="0"/>
                <w:sz w:val="20"/>
              </w:rPr>
              <w:t>日志查询</w:t>
            </w:r>
          </w:p>
        </w:tc>
        <w:tc>
          <w:tcPr>
            <w:tcW w:type="dxa" w:w="4680"/>
          </w:tcPr>
          <w:p>
            <w:pPr>
              <w:jc w:val="left"/>
            </w:pPr>
            <w:r/>
            <w:r>
              <w:rPr>
                <w:rFonts w:ascii="宋体" w:hAnsi="宋体" w:eastAsia="宋体"/>
                <w:b w:val="0"/>
                <w:sz w:val="20"/>
              </w:rPr>
              <w:t>全量日志查询、错误日志查询（含FIX、API日志），支持关键词检索</w:t>
            </w:r>
          </w:p>
        </w:tc>
      </w:tr>
    </w:tbl>
    <w:p>
      <w:r>
        <w:br w:type="page"/>
      </w:r>
    </w:p>
    <w:p>
      <w:pPr>
        <w:pStyle w:val="Heading1"/>
      </w:pPr>
      <w:r>
        <w:rPr>
          <w:rFonts w:ascii="黑体" w:hAnsi="黑体" w:eastAsia="黑体"/>
          <w:b/>
          <w:sz w:val="36"/>
        </w:rPr>
        <w:t>四、同余 vs 根网 功能对比</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rFonts w:ascii="黑体" w:hAnsi="黑体" w:eastAsia="黑体"/>
                <w:b/>
                <w:sz w:val="20"/>
              </w:rPr>
              <w:t>功能模块</w:t>
            </w:r>
          </w:p>
        </w:tc>
        <w:tc>
          <w:tcPr>
            <w:tcW w:type="dxa" w:w="2340"/>
          </w:tcPr>
          <w:p>
            <w:pPr>
              <w:jc w:val="center"/>
            </w:pPr>
            <w:r/>
            <w:r>
              <w:rPr>
                <w:rFonts w:ascii="黑体" w:hAnsi="黑体" w:eastAsia="黑体"/>
                <w:b/>
                <w:sz w:val="20"/>
              </w:rPr>
              <w:t>同余</w:t>
            </w:r>
          </w:p>
        </w:tc>
        <w:tc>
          <w:tcPr>
            <w:tcW w:type="dxa" w:w="2340"/>
          </w:tcPr>
          <w:p>
            <w:pPr>
              <w:jc w:val="center"/>
            </w:pPr>
            <w:r/>
            <w:r>
              <w:rPr>
                <w:rFonts w:ascii="黑体" w:hAnsi="黑体" w:eastAsia="黑体"/>
                <w:b/>
                <w:sz w:val="20"/>
              </w:rPr>
              <w:t>根网盈通</w:t>
            </w:r>
          </w:p>
        </w:tc>
        <w:tc>
          <w:tcPr>
            <w:tcW w:type="dxa" w:w="2340"/>
          </w:tcPr>
          <w:p>
            <w:pPr>
              <w:jc w:val="center"/>
            </w:pPr>
            <w:r/>
            <w:r>
              <w:rPr>
                <w:rFonts w:ascii="黑体" w:hAnsi="黑体" w:eastAsia="黑体"/>
                <w:b/>
                <w:sz w:val="20"/>
              </w:rPr>
              <w:t>说明</w:t>
            </w:r>
          </w:p>
        </w:tc>
      </w:tr>
      <w:tr>
        <w:tc>
          <w:tcPr>
            <w:tcW w:type="dxa" w:w="2340"/>
          </w:tcPr>
          <w:p>
            <w:pPr>
              <w:jc w:val="left"/>
            </w:pPr>
            <w:r/>
            <w:r>
              <w:rPr>
                <w:rFonts w:ascii="宋体" w:hAnsi="宋体" w:eastAsia="宋体"/>
                <w:b w:val="0"/>
                <w:sz w:val="20"/>
              </w:rPr>
              <w:t>OTCD 簿记</w:t>
            </w:r>
          </w:p>
        </w:tc>
        <w:tc>
          <w:tcPr>
            <w:tcW w:type="dxa" w:w="2340"/>
          </w:tcPr>
          <w:p>
            <w:pPr>
              <w:jc w:val="left"/>
            </w:pPr>
            <w:r/>
            <w:r>
              <w:rPr>
                <w:rFonts w:ascii="宋体" w:hAnsi="宋体" w:eastAsia="宋体"/>
                <w:b w:val="0"/>
                <w:sz w:val="20"/>
              </w:rPr>
              <w:t>✅ 覆盖</w:t>
            </w:r>
          </w:p>
        </w:tc>
        <w:tc>
          <w:tcPr>
            <w:tcW w:type="dxa" w:w="2340"/>
          </w:tcPr>
          <w:p>
            <w:pPr>
              <w:jc w:val="left"/>
            </w:pPr>
            <w:r/>
            <w:r>
              <w:rPr>
                <w:rFonts w:ascii="宋体" w:hAnsi="宋体" w:eastAsia="宋体"/>
                <w:b w:val="0"/>
                <w:sz w:val="20"/>
              </w:rPr>
              <w:t>✅ 覆盖</w:t>
            </w:r>
          </w:p>
        </w:tc>
        <w:tc>
          <w:tcPr>
            <w:tcW w:type="dxa" w:w="2340"/>
          </w:tcPr>
          <w:p>
            <w:pPr>
              <w:jc w:val="left"/>
            </w:pPr>
            <w:r/>
            <w:r>
              <w:rPr>
                <w:rFonts w:ascii="宋体" w:hAnsi="宋体" w:eastAsia="宋体"/>
                <w:b w:val="0"/>
                <w:sz w:val="20"/>
              </w:rPr>
              <w:t>功能重复度较高</w:t>
            </w:r>
          </w:p>
        </w:tc>
      </w:tr>
      <w:tr>
        <w:tc>
          <w:tcPr>
            <w:tcW w:type="dxa" w:w="2340"/>
          </w:tcPr>
          <w:p>
            <w:pPr>
              <w:jc w:val="left"/>
            </w:pPr>
            <w:r/>
            <w:r>
              <w:rPr>
                <w:rFonts w:ascii="宋体" w:hAnsi="宋体" w:eastAsia="宋体"/>
                <w:b w:val="0"/>
                <w:sz w:val="20"/>
              </w:rPr>
              <w:t>PTP 中后台</w:t>
            </w:r>
          </w:p>
        </w:tc>
        <w:tc>
          <w:tcPr>
            <w:tcW w:type="dxa" w:w="2340"/>
          </w:tcPr>
          <w:p>
            <w:pPr>
              <w:jc w:val="left"/>
            </w:pPr>
            <w:r/>
            <w:r>
              <w:rPr>
                <w:rFonts w:ascii="宋体" w:hAnsi="宋体" w:eastAsia="宋体"/>
                <w:b w:val="0"/>
                <w:sz w:val="20"/>
              </w:rPr>
              <w:t>✅ 覆盖</w:t>
            </w:r>
          </w:p>
        </w:tc>
        <w:tc>
          <w:tcPr>
            <w:tcW w:type="dxa" w:w="2340"/>
          </w:tcPr>
          <w:p>
            <w:pPr>
              <w:jc w:val="left"/>
            </w:pPr>
            <w:r/>
            <w:r>
              <w:rPr>
                <w:rFonts w:ascii="宋体" w:hAnsi="宋体" w:eastAsia="宋体"/>
                <w:b w:val="0"/>
                <w:sz w:val="20"/>
              </w:rPr>
              <w:t>✅ 覆盖</w:t>
            </w:r>
          </w:p>
        </w:tc>
        <w:tc>
          <w:tcPr>
            <w:tcW w:type="dxa" w:w="2340"/>
          </w:tcPr>
          <w:p>
            <w:pPr>
              <w:jc w:val="left"/>
            </w:pPr>
            <w:r/>
            <w:r>
              <w:rPr>
                <w:rFonts w:ascii="宋体" w:hAnsi="宋体" w:eastAsia="宋体"/>
                <w:b w:val="0"/>
                <w:sz w:val="20"/>
              </w:rPr>
              <w:t>功能重复度较高</w:t>
            </w:r>
          </w:p>
        </w:tc>
      </w:tr>
      <w:tr>
        <w:tc>
          <w:tcPr>
            <w:tcW w:type="dxa" w:w="2340"/>
          </w:tcPr>
          <w:p>
            <w:pPr>
              <w:jc w:val="left"/>
            </w:pPr>
            <w:r/>
            <w:r>
              <w:rPr>
                <w:rFonts w:ascii="宋体" w:hAnsi="宋体" w:eastAsia="宋体"/>
                <w:b w:val="0"/>
                <w:sz w:val="20"/>
              </w:rPr>
              <w:t>客户交易端</w:t>
            </w:r>
          </w:p>
        </w:tc>
        <w:tc>
          <w:tcPr>
            <w:tcW w:type="dxa" w:w="2340"/>
          </w:tcPr>
          <w:p>
            <w:pPr>
              <w:jc w:val="left"/>
            </w:pPr>
            <w:r/>
            <w:r>
              <w:rPr>
                <w:rFonts w:ascii="宋体" w:hAnsi="宋体" w:eastAsia="宋体"/>
                <w:b w:val="0"/>
                <w:sz w:val="20"/>
              </w:rPr>
              <w:t>✅（WEB/API）</w:t>
            </w:r>
          </w:p>
        </w:tc>
        <w:tc>
          <w:tcPr>
            <w:tcW w:type="dxa" w:w="2340"/>
          </w:tcPr>
          <w:p>
            <w:pPr>
              <w:jc w:val="left"/>
            </w:pPr>
            <w:r/>
            <w:r>
              <w:rPr>
                <w:rFonts w:ascii="宋体" w:hAnsi="宋体" w:eastAsia="宋体"/>
                <w:b w:val="0"/>
                <w:sz w:val="20"/>
              </w:rPr>
              <w:t>✅（WEB/GUI/API/FIX）</w:t>
            </w:r>
          </w:p>
        </w:tc>
        <w:tc>
          <w:tcPr>
            <w:tcW w:type="dxa" w:w="2340"/>
          </w:tcPr>
          <w:p>
            <w:pPr>
              <w:jc w:val="left"/>
            </w:pPr>
            <w:r/>
            <w:r>
              <w:rPr>
                <w:rFonts w:ascii="宋体" w:hAnsi="宋体" w:eastAsia="宋体"/>
                <w:b w:val="0"/>
                <w:sz w:val="20"/>
              </w:rPr>
              <w:t>根网多GUI桌面端+FIX协议</w:t>
            </w:r>
          </w:p>
        </w:tc>
      </w:tr>
      <w:tr>
        <w:tc>
          <w:tcPr>
            <w:tcW w:type="dxa" w:w="2340"/>
          </w:tcPr>
          <w:p>
            <w:pPr>
              <w:jc w:val="left"/>
            </w:pPr>
            <w:r/>
            <w:r>
              <w:rPr>
                <w:rFonts w:ascii="宋体" w:hAnsi="宋体" w:eastAsia="宋体"/>
                <w:b w:val="0"/>
                <w:sz w:val="20"/>
              </w:rPr>
              <w:t>SBL 融券</w:t>
            </w:r>
          </w:p>
        </w:tc>
        <w:tc>
          <w:tcPr>
            <w:tcW w:type="dxa" w:w="2340"/>
          </w:tcPr>
          <w:p>
            <w:pPr>
              <w:jc w:val="left"/>
            </w:pPr>
            <w:r/>
            <w:r>
              <w:rPr>
                <w:rFonts w:ascii="宋体" w:hAnsi="宋体" w:eastAsia="宋体"/>
                <w:b w:val="0"/>
                <w:sz w:val="20"/>
              </w:rPr>
              <w:t>❌ 无</w:t>
            </w:r>
          </w:p>
        </w:tc>
        <w:tc>
          <w:tcPr>
            <w:tcW w:type="dxa" w:w="2340"/>
          </w:tcPr>
          <w:p>
            <w:pPr>
              <w:jc w:val="left"/>
            </w:pPr>
            <w:r/>
            <w:r>
              <w:rPr>
                <w:rFonts w:ascii="宋体" w:hAnsi="宋体" w:eastAsia="宋体"/>
                <w:b w:val="0"/>
                <w:sz w:val="20"/>
              </w:rPr>
              <w:t>⭐ 根网独有</w:t>
            </w:r>
          </w:p>
        </w:tc>
        <w:tc>
          <w:tcPr>
            <w:tcW w:type="dxa" w:w="2340"/>
          </w:tcPr>
          <w:p>
            <w:pPr>
              <w:jc w:val="left"/>
            </w:pPr>
            <w:r/>
            <w:r>
              <w:rPr>
                <w:rFonts w:ascii="宋体" w:hAnsi="宋体" w:eastAsia="宋体"/>
                <w:b w:val="0"/>
                <w:sz w:val="20"/>
              </w:rPr>
              <w:t>证券借贷管理全流程</w:t>
            </w:r>
          </w:p>
        </w:tc>
      </w:tr>
      <w:tr>
        <w:tc>
          <w:tcPr>
            <w:tcW w:type="dxa" w:w="2340"/>
          </w:tcPr>
          <w:p>
            <w:pPr>
              <w:jc w:val="left"/>
            </w:pPr>
            <w:r/>
            <w:r>
              <w:rPr>
                <w:rFonts w:ascii="宋体" w:hAnsi="宋体" w:eastAsia="宋体"/>
                <w:b w:val="0"/>
                <w:sz w:val="20"/>
              </w:rPr>
              <w:t>BrokerFill</w:t>
            </w:r>
          </w:p>
        </w:tc>
        <w:tc>
          <w:tcPr>
            <w:tcW w:type="dxa" w:w="2340"/>
          </w:tcPr>
          <w:p>
            <w:pPr>
              <w:jc w:val="left"/>
            </w:pPr>
            <w:r/>
            <w:r>
              <w:rPr>
                <w:rFonts w:ascii="宋体" w:hAnsi="宋体" w:eastAsia="宋体"/>
                <w:b w:val="0"/>
                <w:sz w:val="20"/>
              </w:rPr>
              <w:t>❌ 无</w:t>
            </w:r>
          </w:p>
        </w:tc>
        <w:tc>
          <w:tcPr>
            <w:tcW w:type="dxa" w:w="2340"/>
          </w:tcPr>
          <w:p>
            <w:pPr>
              <w:jc w:val="left"/>
            </w:pPr>
            <w:r/>
            <w:r>
              <w:rPr>
                <w:rFonts w:ascii="宋体" w:hAnsi="宋体" w:eastAsia="宋体"/>
                <w:b w:val="0"/>
                <w:sz w:val="20"/>
              </w:rPr>
              <w:t>⭐ 根网独有</w:t>
            </w:r>
          </w:p>
        </w:tc>
        <w:tc>
          <w:tcPr>
            <w:tcW w:type="dxa" w:w="2340"/>
          </w:tcPr>
          <w:p>
            <w:pPr>
              <w:jc w:val="left"/>
            </w:pPr>
            <w:r/>
            <w:r>
              <w:rPr>
                <w:rFonts w:ascii="宋体" w:hAnsi="宋体" w:eastAsia="宋体"/>
                <w:b w:val="0"/>
                <w:sz w:val="20"/>
              </w:rPr>
              <w:t>融券自动撮合引擎</w:t>
            </w:r>
          </w:p>
        </w:tc>
      </w:tr>
      <w:tr>
        <w:tc>
          <w:tcPr>
            <w:tcW w:type="dxa" w:w="2340"/>
          </w:tcPr>
          <w:p>
            <w:pPr>
              <w:jc w:val="left"/>
            </w:pPr>
            <w:r/>
            <w:r>
              <w:rPr>
                <w:rFonts w:ascii="宋体" w:hAnsi="宋体" w:eastAsia="宋体"/>
                <w:b w:val="0"/>
                <w:sz w:val="20"/>
              </w:rPr>
              <w:t>COLO 托管交易</w:t>
            </w:r>
          </w:p>
        </w:tc>
        <w:tc>
          <w:tcPr>
            <w:tcW w:type="dxa" w:w="2340"/>
          </w:tcPr>
          <w:p>
            <w:pPr>
              <w:jc w:val="left"/>
            </w:pPr>
            <w:r/>
            <w:r>
              <w:rPr>
                <w:rFonts w:ascii="宋体" w:hAnsi="宋体" w:eastAsia="宋体"/>
                <w:b w:val="0"/>
                <w:sz w:val="20"/>
              </w:rPr>
              <w:t>❌ 无</w:t>
            </w:r>
          </w:p>
        </w:tc>
        <w:tc>
          <w:tcPr>
            <w:tcW w:type="dxa" w:w="2340"/>
          </w:tcPr>
          <w:p>
            <w:pPr>
              <w:jc w:val="left"/>
            </w:pPr>
            <w:r/>
            <w:r>
              <w:rPr>
                <w:rFonts w:ascii="宋体" w:hAnsi="宋体" w:eastAsia="宋体"/>
                <w:b w:val="0"/>
                <w:sz w:val="20"/>
              </w:rPr>
              <w:t>⭐ 根网独有</w:t>
            </w:r>
          </w:p>
        </w:tc>
        <w:tc>
          <w:tcPr>
            <w:tcW w:type="dxa" w:w="2340"/>
          </w:tcPr>
          <w:p>
            <w:pPr>
              <w:jc w:val="left"/>
            </w:pPr>
            <w:r/>
            <w:r>
              <w:rPr>
                <w:rFonts w:ascii="宋体" w:hAnsi="宋体" w:eastAsia="宋体"/>
                <w:b w:val="0"/>
                <w:sz w:val="20"/>
              </w:rPr>
              <w:t>交易所机房托管，TP50&lt;10μs</w:t>
            </w:r>
          </w:p>
        </w:tc>
      </w:tr>
      <w:tr>
        <w:tc>
          <w:tcPr>
            <w:tcW w:type="dxa" w:w="2340"/>
          </w:tcPr>
          <w:p>
            <w:pPr>
              <w:jc w:val="left"/>
            </w:pPr>
            <w:r/>
            <w:r>
              <w:rPr>
                <w:rFonts w:ascii="宋体" w:hAnsi="宋体" w:eastAsia="宋体"/>
                <w:b w:val="0"/>
                <w:sz w:val="20"/>
              </w:rPr>
              <w:t>COLO 事前风控</w:t>
            </w:r>
          </w:p>
        </w:tc>
        <w:tc>
          <w:tcPr>
            <w:tcW w:type="dxa" w:w="2340"/>
          </w:tcPr>
          <w:p>
            <w:pPr>
              <w:jc w:val="left"/>
            </w:pPr>
            <w:r/>
            <w:r>
              <w:rPr>
                <w:rFonts w:ascii="宋体" w:hAnsi="宋体" w:eastAsia="宋体"/>
                <w:b w:val="0"/>
                <w:sz w:val="20"/>
              </w:rPr>
              <w:t>❌ 无</w:t>
            </w:r>
          </w:p>
        </w:tc>
        <w:tc>
          <w:tcPr>
            <w:tcW w:type="dxa" w:w="2340"/>
          </w:tcPr>
          <w:p>
            <w:pPr>
              <w:jc w:val="left"/>
            </w:pPr>
            <w:r/>
            <w:r>
              <w:rPr>
                <w:rFonts w:ascii="宋体" w:hAnsi="宋体" w:eastAsia="宋体"/>
                <w:b w:val="0"/>
                <w:sz w:val="20"/>
              </w:rPr>
              <w:t>⭐ 根网独有</w:t>
            </w:r>
          </w:p>
        </w:tc>
        <w:tc>
          <w:tcPr>
            <w:tcW w:type="dxa" w:w="2340"/>
          </w:tcPr>
          <w:p>
            <w:pPr>
              <w:jc w:val="left"/>
            </w:pPr>
            <w:r/>
            <w:r>
              <w:rPr>
                <w:rFonts w:ascii="宋体" w:hAnsi="宋体" w:eastAsia="宋体"/>
                <w:b w:val="0"/>
                <w:sz w:val="20"/>
              </w:rPr>
              <w:t>13条规则，COLO专属</w:t>
            </w:r>
          </w:p>
        </w:tc>
      </w:tr>
      <w:tr>
        <w:tc>
          <w:tcPr>
            <w:tcW w:type="dxa" w:w="2340"/>
          </w:tcPr>
          <w:p>
            <w:pPr>
              <w:jc w:val="left"/>
            </w:pPr>
            <w:r/>
            <w:r>
              <w:rPr>
                <w:rFonts w:ascii="宋体" w:hAnsi="宋体" w:eastAsia="宋体"/>
                <w:b w:val="0"/>
                <w:sz w:val="20"/>
              </w:rPr>
              <w:t>运维监控平台</w:t>
            </w:r>
          </w:p>
        </w:tc>
        <w:tc>
          <w:tcPr>
            <w:tcW w:type="dxa" w:w="2340"/>
          </w:tcPr>
          <w:p>
            <w:pPr>
              <w:jc w:val="left"/>
            </w:pPr>
            <w:r/>
            <w:r>
              <w:rPr>
                <w:rFonts w:ascii="宋体" w:hAnsi="宋体" w:eastAsia="宋体"/>
                <w:b w:val="0"/>
                <w:sz w:val="20"/>
              </w:rPr>
              <w:t>❌ 无</w:t>
            </w:r>
          </w:p>
        </w:tc>
        <w:tc>
          <w:tcPr>
            <w:tcW w:type="dxa" w:w="2340"/>
          </w:tcPr>
          <w:p>
            <w:pPr>
              <w:jc w:val="left"/>
            </w:pPr>
            <w:r/>
            <w:r>
              <w:rPr>
                <w:rFonts w:ascii="宋体" w:hAnsi="宋体" w:eastAsia="宋体"/>
                <w:b w:val="0"/>
                <w:sz w:val="20"/>
              </w:rPr>
              <w:t>⭐ 根网独有</w:t>
            </w:r>
          </w:p>
        </w:tc>
        <w:tc>
          <w:tcPr>
            <w:tcW w:type="dxa" w:w="2340"/>
          </w:tcPr>
          <w:p>
            <w:pPr>
              <w:jc w:val="left"/>
            </w:pPr>
            <w:r/>
            <w:r>
              <w:rPr>
                <w:rFonts w:ascii="宋体" w:hAnsi="宋体" w:eastAsia="宋体"/>
                <w:b w:val="0"/>
                <w:sz w:val="20"/>
              </w:rPr>
              <w:t>盘前中后检查+FIX日志+链路耗时</w:t>
            </w:r>
          </w:p>
        </w:tc>
      </w:tr>
      <w:tr>
        <w:tc>
          <w:tcPr>
            <w:tcW w:type="dxa" w:w="2340"/>
          </w:tcPr>
          <w:p>
            <w:pPr>
              <w:jc w:val="left"/>
            </w:pPr>
            <w:r/>
            <w:r>
              <w:rPr>
                <w:rFonts w:ascii="宋体" w:hAnsi="宋体" w:eastAsia="宋体"/>
                <w:b w:val="0"/>
                <w:sz w:val="20"/>
              </w:rPr>
              <w:t>FIX 协议</w:t>
            </w:r>
          </w:p>
        </w:tc>
        <w:tc>
          <w:tcPr>
            <w:tcW w:type="dxa" w:w="2340"/>
          </w:tcPr>
          <w:p>
            <w:pPr>
              <w:jc w:val="left"/>
            </w:pPr>
            <w:r/>
            <w:r>
              <w:rPr>
                <w:rFonts w:ascii="宋体" w:hAnsi="宋体" w:eastAsia="宋体"/>
                <w:b w:val="0"/>
                <w:sz w:val="20"/>
              </w:rPr>
              <w:t>❌</w:t>
            </w:r>
          </w:p>
        </w:tc>
        <w:tc>
          <w:tcPr>
            <w:tcW w:type="dxa" w:w="2340"/>
          </w:tcPr>
          <w:p>
            <w:pPr>
              <w:jc w:val="left"/>
            </w:pPr>
            <w:r/>
            <w:r>
              <w:rPr>
                <w:rFonts w:ascii="宋体" w:hAnsi="宋体" w:eastAsia="宋体"/>
                <w:b w:val="0"/>
                <w:sz w:val="20"/>
              </w:rPr>
              <w:t>✅</w:t>
            </w:r>
          </w:p>
        </w:tc>
        <w:tc>
          <w:tcPr>
            <w:tcW w:type="dxa" w:w="2340"/>
          </w:tcPr>
          <w:p>
            <w:pPr>
              <w:jc w:val="left"/>
            </w:pPr>
            <w:r/>
            <w:r>
              <w:rPr>
                <w:rFonts w:ascii="宋体" w:hAnsi="宋体" w:eastAsia="宋体"/>
                <w:b w:val="0"/>
                <w:sz w:val="20"/>
              </w:rPr>
              <w:t>金融行业标准协议，量化机构主流</w:t>
            </w:r>
          </w:p>
        </w:tc>
      </w:tr>
      <w:tr>
        <w:tc>
          <w:tcPr>
            <w:tcW w:type="dxa" w:w="2340"/>
          </w:tcPr>
          <w:p>
            <w:pPr>
              <w:jc w:val="left"/>
            </w:pPr>
            <w:r/>
            <w:r>
              <w:rPr>
                <w:rFonts w:ascii="宋体" w:hAnsi="宋体" w:eastAsia="宋体"/>
                <w:b w:val="0"/>
                <w:sz w:val="20"/>
              </w:rPr>
              <w:t>QFII/双融/股衍柜台</w:t>
            </w:r>
          </w:p>
        </w:tc>
        <w:tc>
          <w:tcPr>
            <w:tcW w:type="dxa" w:w="2340"/>
          </w:tcPr>
          <w:p>
            <w:pPr>
              <w:jc w:val="left"/>
            </w:pPr>
            <w:r/>
            <w:r>
              <w:rPr>
                <w:rFonts w:ascii="宋体" w:hAnsi="宋体" w:eastAsia="宋体"/>
                <w:b w:val="0"/>
                <w:sz w:val="20"/>
              </w:rPr>
              <w:t>❌</w:t>
            </w:r>
          </w:p>
        </w:tc>
        <w:tc>
          <w:tcPr>
            <w:tcW w:type="dxa" w:w="2340"/>
          </w:tcPr>
          <w:p>
            <w:pPr>
              <w:jc w:val="left"/>
            </w:pPr>
            <w:r/>
            <w:r>
              <w:rPr>
                <w:rFonts w:ascii="宋体" w:hAnsi="宋体" w:eastAsia="宋体"/>
                <w:b w:val="0"/>
                <w:sz w:val="20"/>
              </w:rPr>
              <w:t>⭐ 根网独有</w:t>
            </w:r>
          </w:p>
        </w:tc>
        <w:tc>
          <w:tcPr>
            <w:tcW w:type="dxa" w:w="2340"/>
          </w:tcPr>
          <w:p>
            <w:pPr>
              <w:jc w:val="left"/>
            </w:pPr>
            <w:r/>
            <w:r>
              <w:rPr>
                <w:rFonts w:ascii="宋体" w:hAnsi="宋体" w:eastAsia="宋体"/>
                <w:b w:val="0"/>
                <w:sz w:val="20"/>
              </w:rPr>
              <w:t>对接沪深交易所多柜台通道</w:t>
            </w:r>
          </w:p>
        </w:tc>
      </w:tr>
      <w:tr>
        <w:tc>
          <w:tcPr>
            <w:tcW w:type="dxa" w:w="2340"/>
          </w:tcPr>
          <w:p>
            <w:pPr>
              <w:jc w:val="left"/>
            </w:pPr>
            <w:r/>
            <w:r>
              <w:rPr>
                <w:rFonts w:ascii="宋体" w:hAnsi="宋体" w:eastAsia="宋体"/>
                <w:b w:val="0"/>
                <w:sz w:val="20"/>
              </w:rPr>
              <w:t>北向交易网关</w:t>
            </w:r>
          </w:p>
        </w:tc>
        <w:tc>
          <w:tcPr>
            <w:tcW w:type="dxa" w:w="2340"/>
          </w:tcPr>
          <w:p>
            <w:pPr>
              <w:jc w:val="left"/>
            </w:pPr>
            <w:r/>
            <w:r>
              <w:rPr>
                <w:rFonts w:ascii="宋体" w:hAnsi="宋体" w:eastAsia="宋体"/>
                <w:b w:val="0"/>
                <w:sz w:val="20"/>
              </w:rPr>
              <w:t>❌</w:t>
            </w:r>
          </w:p>
        </w:tc>
        <w:tc>
          <w:tcPr>
            <w:tcW w:type="dxa" w:w="2340"/>
          </w:tcPr>
          <w:p>
            <w:pPr>
              <w:jc w:val="left"/>
            </w:pPr>
            <w:r/>
            <w:r>
              <w:rPr>
                <w:rFonts w:ascii="宋体" w:hAnsi="宋体" w:eastAsia="宋体"/>
                <w:b w:val="0"/>
                <w:sz w:val="20"/>
              </w:rPr>
              <w:t>⭐ 根网独有</w:t>
            </w:r>
          </w:p>
        </w:tc>
        <w:tc>
          <w:tcPr>
            <w:tcW w:type="dxa" w:w="2340"/>
          </w:tcPr>
          <w:p>
            <w:pPr>
              <w:jc w:val="left"/>
            </w:pPr>
            <w:r/>
            <w:r>
              <w:rPr>
                <w:rFonts w:ascii="宋体" w:hAnsi="宋体" w:eastAsia="宋体"/>
                <w:b w:val="0"/>
                <w:sz w:val="20"/>
              </w:rPr>
              <w:t>北向资金专用通道</w:t>
            </w:r>
          </w:p>
        </w:tc>
      </w:tr>
    </w:tbl>
    <w:p>
      <w:pPr>
        <w:spacing w:before="0" w:after="120" w:line="360" w:lineRule="auto"/>
        <w:jc w:val="left"/>
      </w:pPr>
      <w:r>
        <w:rPr>
          <w:rFonts w:ascii="宋体" w:hAnsi="宋体" w:eastAsia="宋体"/>
          <w:b w:val="0"/>
          <w:sz w:val="12"/>
        </w:rPr>
      </w:r>
    </w:p>
    <w:p>
      <w:pPr>
        <w:spacing w:before="0" w:after="120" w:line="360" w:lineRule="auto"/>
        <w:ind w:firstLine="480"/>
        <w:jc w:val="left"/>
      </w:pPr>
      <w:r>
        <w:rPr>
          <w:rFonts w:ascii="宋体" w:hAnsi="宋体" w:eastAsia="宋体"/>
          <w:b/>
          <w:sz w:val="24"/>
        </w:rPr>
        <w:t>关键判断：同余在OTCD簿记和PTP中后台方面已覆盖兴业现有需求，根网的核心增量价值在COLO、SBL、BrokerFill、运维监控四大模块。是否用根网替换同余（或并行使用），取决于业务优先级和成本考量。</w:t>
      </w:r>
    </w:p>
    <w:p>
      <w:r>
        <w:br w:type="page"/>
      </w:r>
    </w:p>
    <w:p>
      <w:pPr>
        <w:pStyle w:val="Heading1"/>
      </w:pPr>
      <w:r>
        <w:rPr>
          <w:rFonts w:ascii="黑体" w:hAnsi="黑体" w:eastAsia="黑体"/>
          <w:b/>
          <w:sz w:val="36"/>
        </w:rPr>
        <w:t>五、关键概念解释</w:t>
      </w:r>
    </w:p>
    <w:p>
      <w:pPr>
        <w:spacing w:before="200" w:after="40" w:line="360" w:lineRule="auto"/>
        <w:jc w:val="left"/>
      </w:pPr>
      <w:r>
        <w:rPr>
          <w:rFonts w:ascii="黑体" w:hAnsi="黑体" w:eastAsia="黑体"/>
          <w:b/>
          <w:sz w:val="24"/>
        </w:rPr>
        <w:t>FIX 协议</w:t>
      </w:r>
    </w:p>
    <w:p>
      <w:pPr>
        <w:spacing w:before="0" w:after="120" w:line="360" w:lineRule="auto"/>
        <w:ind w:firstLine="480"/>
        <w:jc w:val="left"/>
      </w:pPr>
      <w:r>
        <w:rPr>
          <w:rFonts w:ascii="宋体" w:hAnsi="宋体" w:eastAsia="宋体"/>
          <w:b w:val="0"/>
          <w:sz w:val="24"/>
        </w:rPr>
        <w:t>Financial Information eXchange，金融信息交换协议。是全球通用的金融交易电子化通讯标准，定义了订单、成交、撤单等消息的标准格式。量化机构通过FIX协议直连交易系统，实现程序化下单。验收关注点：连接稳定性、消息延迟、会话管理。</w:t>
      </w:r>
    </w:p>
    <w:p>
      <w:pPr>
        <w:spacing w:before="200" w:after="40" w:line="360" w:lineRule="auto"/>
        <w:jc w:val="left"/>
      </w:pPr>
      <w:r>
        <w:rPr>
          <w:rFonts w:ascii="黑体" w:hAnsi="黑体" w:eastAsia="黑体"/>
          <w:b/>
          <w:sz w:val="24"/>
        </w:rPr>
        <w:t>极速交易</w:t>
      </w:r>
    </w:p>
    <w:p>
      <w:pPr>
        <w:spacing w:before="0" w:after="120" w:line="360" w:lineRule="auto"/>
        <w:ind w:firstLine="480"/>
        <w:jc w:val="left"/>
      </w:pPr>
      <w:r>
        <w:rPr>
          <w:rFonts w:ascii="宋体" w:hAnsi="宋体" w:eastAsia="宋体"/>
          <w:b w:val="0"/>
          <w:sz w:val="24"/>
        </w:rPr>
        <w:t>通过软硬件优化将交易延迟降到微秒级别的交易技术。四个环节：客户 → 极速交易系统 → COLO托管机房 → 交易所。相比传统交易（毫秒级），极速交易的延迟优势在量化交易中至关重要。验收维度：功能正确性、性能（TP50/TP99延迟）、异常恢复能力。</w:t>
      </w:r>
    </w:p>
    <w:p>
      <w:pPr>
        <w:spacing w:before="200" w:after="40" w:line="360" w:lineRule="auto"/>
        <w:jc w:val="left"/>
      </w:pPr>
      <w:r>
        <w:rPr>
          <w:rFonts w:ascii="黑体" w:hAnsi="黑体" w:eastAsia="黑体"/>
          <w:b/>
          <w:sz w:val="24"/>
        </w:rPr>
        <w:t>COLO（托管交易）</w:t>
      </w:r>
    </w:p>
    <w:p>
      <w:pPr>
        <w:spacing w:before="0" w:after="120" w:line="360" w:lineRule="auto"/>
        <w:ind w:firstLine="480"/>
        <w:jc w:val="left"/>
      </w:pPr>
      <w:r>
        <w:rPr>
          <w:rFonts w:ascii="宋体" w:hAnsi="宋体" w:eastAsia="宋体"/>
          <w:b w:val="0"/>
          <w:sz w:val="24"/>
        </w:rPr>
        <w:t>Co-location的缩写。将交易服务器物理部署在交易所机房内，通过光纤直连交易所撮合引擎，实现极低延迟的交易执行。根网COLO模块支持沪深两市各一个交易节点，订单上行穿透TP50&lt;10μs。</w:t>
      </w:r>
    </w:p>
    <w:p>
      <w:pPr>
        <w:spacing w:before="200" w:after="40" w:line="360" w:lineRule="auto"/>
        <w:jc w:val="left"/>
      </w:pPr>
      <w:r>
        <w:rPr>
          <w:rFonts w:ascii="黑体" w:hAnsi="黑体" w:eastAsia="黑体"/>
          <w:b/>
          <w:sz w:val="24"/>
        </w:rPr>
        <w:t>反采（反向采购）</w:t>
      </w:r>
    </w:p>
    <w:p>
      <w:pPr>
        <w:spacing w:before="0" w:after="120" w:line="360" w:lineRule="auto"/>
        <w:ind w:firstLine="480"/>
        <w:jc w:val="left"/>
      </w:pPr>
      <w:r>
        <w:rPr>
          <w:rFonts w:ascii="宋体" w:hAnsi="宋体" w:eastAsia="宋体"/>
          <w:b w:val="0"/>
          <w:sz w:val="24"/>
        </w:rPr>
        <w:t>指服务器反向采购并部署到对方机房的模式。在DMA业务场景中，指兴证香港采购服务器部署到境外客户机房（或交易所COLO机房），实现极速接入。涉及采购流程、机房部署、运维责任归属。</w:t>
      </w:r>
    </w:p>
    <w:p>
      <w:pPr>
        <w:spacing w:before="200" w:after="40" w:line="360" w:lineRule="auto"/>
        <w:jc w:val="left"/>
      </w:pPr>
      <w:r>
        <w:rPr>
          <w:rFonts w:ascii="黑体" w:hAnsi="黑体" w:eastAsia="黑体"/>
          <w:b/>
          <w:sz w:val="24"/>
        </w:rPr>
        <w:t>BrokerFill</w:t>
      </w:r>
    </w:p>
    <w:p>
      <w:pPr>
        <w:spacing w:before="0" w:after="120" w:line="360" w:lineRule="auto"/>
        <w:ind w:firstLine="480"/>
        <w:jc w:val="left"/>
      </w:pPr>
      <w:r>
        <w:rPr>
          <w:rFonts w:ascii="宋体" w:hAnsi="宋体" w:eastAsia="宋体"/>
          <w:b w:val="0"/>
          <w:sz w:val="24"/>
        </w:rPr>
        <w:t>融券自动撮合引擎。当SBL证券借贷平台无法满足客户券源需求时，BrokerFill自动在系统中匹配符合条件的出券方，实现做空对冲。核心流程：客户融券请求 → SBL查询 → 无券源 → BrokerFill自动匹配 → 撮合成交。</w:t>
      </w:r>
    </w:p>
    <w:p>
      <w:pPr>
        <w:spacing w:before="200" w:after="40" w:line="360" w:lineRule="auto"/>
        <w:jc w:val="left"/>
      </w:pPr>
      <w:r>
        <w:rPr>
          <w:rFonts w:ascii="黑体" w:hAnsi="黑体" w:eastAsia="黑体"/>
          <w:b/>
          <w:sz w:val="24"/>
        </w:rPr>
        <w:t>DMA（直接市场接入）</w:t>
      </w:r>
    </w:p>
    <w:p>
      <w:pPr>
        <w:spacing w:before="0" w:after="120" w:line="360" w:lineRule="auto"/>
        <w:ind w:firstLine="480"/>
        <w:jc w:val="left"/>
      </w:pPr>
      <w:r>
        <w:rPr>
          <w:rFonts w:ascii="宋体" w:hAnsi="宋体" w:eastAsia="宋体"/>
          <w:b w:val="0"/>
          <w:sz w:val="24"/>
        </w:rPr>
        <w:t>Direct Market Access。境外机构投资者通过券商的交易通道，直接向境内交易所下单的交易模式。北向DMA指境外投资者通过香港券商接入沪深交易所。涉及沪深港通、QFII等通道。</w:t>
      </w:r>
    </w:p>
    <w:p>
      <w:pPr>
        <w:spacing w:before="200" w:after="40" w:line="360" w:lineRule="auto"/>
        <w:jc w:val="left"/>
      </w:pPr>
      <w:r>
        <w:rPr>
          <w:rFonts w:ascii="黑体" w:hAnsi="黑体" w:eastAsia="黑体"/>
          <w:b/>
          <w:sz w:val="24"/>
        </w:rPr>
        <w:t>OTCD</w:t>
      </w:r>
    </w:p>
    <w:p>
      <w:pPr>
        <w:spacing w:before="0" w:after="120" w:line="360" w:lineRule="auto"/>
        <w:ind w:firstLine="480"/>
        <w:jc w:val="left"/>
      </w:pPr>
      <w:r>
        <w:rPr>
          <w:rFonts w:ascii="宋体" w:hAnsi="宋体" w:eastAsia="宋体"/>
          <w:b w:val="0"/>
          <w:sz w:val="24"/>
        </w:rPr>
        <w:t>OTC Derivatives，场外衍生品。指在交易所以外进行的衍生品交易合约，包括场外期权、收益互换等。兴业证券通过OTCD簿记系统管理合约的全生命周期。</w:t>
      </w:r>
    </w:p>
    <w:p>
      <w:pPr>
        <w:spacing w:before="200" w:after="40" w:line="360" w:lineRule="auto"/>
        <w:jc w:val="left"/>
      </w:pPr>
      <w:r>
        <w:rPr>
          <w:rFonts w:ascii="黑体" w:hAnsi="黑体" w:eastAsia="黑体"/>
          <w:b/>
          <w:sz w:val="24"/>
        </w:rPr>
        <w:t>北向交易网关</w:t>
      </w:r>
    </w:p>
    <w:p>
      <w:pPr>
        <w:spacing w:before="0" w:after="120" w:line="360" w:lineRule="auto"/>
        <w:ind w:firstLine="480"/>
        <w:jc w:val="left"/>
      </w:pPr>
      <w:r>
        <w:rPr>
          <w:rFonts w:ascii="宋体" w:hAnsi="宋体" w:eastAsia="宋体"/>
          <w:b w:val="0"/>
          <w:sz w:val="24"/>
        </w:rPr>
        <w:t>专门处理北向资金（境外 → 境内）的交易通道。在根网架构中位于深圳云核心业务层，负责将香港客户的交易指令路由到境内柜台执行。</w:t>
      </w:r>
    </w:p>
    <w:p>
      <w:r>
        <w:br w:type="page"/>
      </w:r>
    </w:p>
    <w:p>
      <w:pPr>
        <w:pStyle w:val="Heading1"/>
      </w:pPr>
      <w:r>
        <w:rPr>
          <w:rFonts w:ascii="黑体" w:hAnsi="黑体" w:eastAsia="黑体"/>
          <w:b/>
          <w:sz w:val="36"/>
        </w:rPr>
        <w:t>六、北向DMA工作内容整理</w:t>
      </w:r>
    </w:p>
    <w:p>
      <w:pPr>
        <w:spacing w:before="0" w:after="120" w:line="360" w:lineRule="auto"/>
        <w:ind w:firstLine="480"/>
        <w:jc w:val="left"/>
      </w:pPr>
      <w:r>
        <w:rPr>
          <w:rFonts w:ascii="宋体" w:hAnsi="宋体" w:eastAsia="宋体"/>
          <w:b w:val="0"/>
          <w:sz w:val="24"/>
        </w:rPr>
        <w:t>以下为北向DMA &amp; OTCD项目转岗后的工作内容梳理（四部分）：</w:t>
      </w:r>
    </w:p>
    <w:p>
      <w:pPr>
        <w:pStyle w:val="Heading2"/>
      </w:pPr>
      <w:r>
        <w:rPr>
          <w:rFonts w:ascii="黑体" w:hAnsi="黑体" w:eastAsia="黑体"/>
          <w:b/>
          <w:sz w:val="30"/>
        </w:rPr>
        <w:t>6.1 同余/根网 系统建设</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
              <w:rPr>
                <w:rFonts w:ascii="黑体" w:hAnsi="黑体" w:eastAsia="黑体"/>
                <w:b/>
                <w:sz w:val="20"/>
              </w:rPr>
              <w:t>工作项</w:t>
            </w:r>
          </w:p>
        </w:tc>
        <w:tc>
          <w:tcPr>
            <w:tcW w:type="dxa" w:w="4680"/>
          </w:tcPr>
          <w:p>
            <w:pPr>
              <w:jc w:val="center"/>
            </w:pPr>
            <w:r/>
            <w:r>
              <w:rPr>
                <w:rFonts w:ascii="黑体" w:hAnsi="黑体" w:eastAsia="黑体"/>
                <w:b/>
                <w:sz w:val="20"/>
              </w:rPr>
              <w:t>内容</w:t>
            </w:r>
          </w:p>
        </w:tc>
      </w:tr>
      <w:tr>
        <w:tc>
          <w:tcPr>
            <w:tcW w:type="dxa" w:w="4680"/>
          </w:tcPr>
          <w:p>
            <w:pPr>
              <w:jc w:val="left"/>
            </w:pPr>
            <w:r/>
            <w:r>
              <w:rPr>
                <w:rFonts w:ascii="宋体" w:hAnsi="宋体" w:eastAsia="宋体"/>
                <w:b w:val="0"/>
                <w:sz w:val="20"/>
              </w:rPr>
              <w:t>系统对比分析</w:t>
            </w:r>
          </w:p>
        </w:tc>
        <w:tc>
          <w:tcPr>
            <w:tcW w:type="dxa" w:w="4680"/>
          </w:tcPr>
          <w:p>
            <w:pPr>
              <w:jc w:val="left"/>
            </w:pPr>
            <w:r/>
            <w:r>
              <w:rPr>
                <w:rFonts w:ascii="宋体" w:hAnsi="宋体" w:eastAsia="宋体"/>
                <w:b w:val="0"/>
                <w:sz w:val="20"/>
              </w:rPr>
              <w:t>同余 与 根网盈通 的功能清单对照分析，识别重叠与差异</w:t>
            </w:r>
          </w:p>
        </w:tc>
      </w:tr>
      <w:tr>
        <w:tc>
          <w:tcPr>
            <w:tcW w:type="dxa" w:w="4680"/>
          </w:tcPr>
          <w:p>
            <w:pPr>
              <w:jc w:val="left"/>
            </w:pPr>
            <w:r/>
            <w:r>
              <w:rPr>
                <w:rFonts w:ascii="宋体" w:hAnsi="宋体" w:eastAsia="宋体"/>
                <w:b w:val="0"/>
                <w:sz w:val="20"/>
              </w:rPr>
              <w:t>供应商沟通</w:t>
            </w:r>
          </w:p>
        </w:tc>
        <w:tc>
          <w:tcPr>
            <w:tcW w:type="dxa" w:w="4680"/>
          </w:tcPr>
          <w:p>
            <w:pPr>
              <w:jc w:val="left"/>
            </w:pPr>
            <w:r/>
            <w:r>
              <w:rPr>
                <w:rFonts w:ascii="宋体" w:hAnsi="宋体" w:eastAsia="宋体"/>
                <w:b w:val="0"/>
                <w:sz w:val="20"/>
              </w:rPr>
              <w:t>与根网销售/技术团队对接，确认功能边界、报价、实施计划</w:t>
            </w:r>
          </w:p>
        </w:tc>
      </w:tr>
      <w:tr>
        <w:tc>
          <w:tcPr>
            <w:tcW w:type="dxa" w:w="4680"/>
          </w:tcPr>
          <w:p>
            <w:pPr>
              <w:jc w:val="left"/>
            </w:pPr>
            <w:r/>
            <w:r>
              <w:rPr>
                <w:rFonts w:ascii="宋体" w:hAnsi="宋体" w:eastAsia="宋体"/>
                <w:b w:val="0"/>
                <w:sz w:val="20"/>
              </w:rPr>
              <w:t>立项采购</w:t>
            </w:r>
          </w:p>
        </w:tc>
        <w:tc>
          <w:tcPr>
            <w:tcW w:type="dxa" w:w="4680"/>
          </w:tcPr>
          <w:p>
            <w:pPr>
              <w:jc w:val="left"/>
            </w:pPr>
            <w:r/>
            <w:r>
              <w:rPr>
                <w:rFonts w:ascii="宋体" w:hAnsi="宋体" w:eastAsia="宋体"/>
                <w:b w:val="0"/>
                <w:sz w:val="20"/>
              </w:rPr>
              <w:t>编写立项报告、预算审批表、采购需求说明书等全套文档</w:t>
            </w:r>
          </w:p>
        </w:tc>
      </w:tr>
      <w:tr>
        <w:tc>
          <w:tcPr>
            <w:tcW w:type="dxa" w:w="4680"/>
          </w:tcPr>
          <w:p>
            <w:pPr>
              <w:jc w:val="left"/>
            </w:pPr>
            <w:r/>
            <w:r>
              <w:rPr>
                <w:rFonts w:ascii="宋体" w:hAnsi="宋体" w:eastAsia="宋体"/>
                <w:b w:val="0"/>
                <w:sz w:val="20"/>
              </w:rPr>
              <w:t>合同谈判</w:t>
            </w:r>
          </w:p>
        </w:tc>
        <w:tc>
          <w:tcPr>
            <w:tcW w:type="dxa" w:w="4680"/>
          </w:tcPr>
          <w:p>
            <w:pPr>
              <w:jc w:val="left"/>
            </w:pPr>
            <w:r/>
            <w:r>
              <w:rPr>
                <w:rFonts w:ascii="宋体" w:hAnsi="宋体" w:eastAsia="宋体"/>
                <w:b w:val="0"/>
                <w:sz w:val="20"/>
              </w:rPr>
              <w:t>框架折扣（恒生统一3.85折）、维保条款（首年免、后续15%/年）</w:t>
            </w:r>
          </w:p>
        </w:tc>
      </w:tr>
    </w:tbl>
    <w:p>
      <w:pPr>
        <w:pStyle w:val="Heading2"/>
      </w:pPr>
      <w:r>
        <w:rPr>
          <w:rFonts w:ascii="黑体" w:hAnsi="黑体" w:eastAsia="黑体"/>
          <w:b/>
          <w:sz w:val="30"/>
        </w:rPr>
        <w:t>6.2 客户侧对接</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
              <w:rPr>
                <w:rFonts w:ascii="黑体" w:hAnsi="黑体" w:eastAsia="黑体"/>
                <w:b/>
                <w:sz w:val="20"/>
              </w:rPr>
              <w:t>工作项</w:t>
            </w:r>
          </w:p>
        </w:tc>
        <w:tc>
          <w:tcPr>
            <w:tcW w:type="dxa" w:w="4680"/>
          </w:tcPr>
          <w:p>
            <w:pPr>
              <w:jc w:val="center"/>
            </w:pPr>
            <w:r/>
            <w:r>
              <w:rPr>
                <w:rFonts w:ascii="黑体" w:hAnsi="黑体" w:eastAsia="黑体"/>
                <w:b/>
                <w:sz w:val="20"/>
              </w:rPr>
              <w:t>内容</w:t>
            </w:r>
          </w:p>
        </w:tc>
      </w:tr>
      <w:tr>
        <w:tc>
          <w:tcPr>
            <w:tcW w:type="dxa" w:w="4680"/>
          </w:tcPr>
          <w:p>
            <w:pPr>
              <w:jc w:val="left"/>
            </w:pPr>
            <w:r/>
            <w:r>
              <w:rPr>
                <w:rFonts w:ascii="宋体" w:hAnsi="宋体" w:eastAsia="宋体"/>
                <w:b w:val="0"/>
                <w:sz w:val="20"/>
              </w:rPr>
              <w:t>API/FIX接入</w:t>
            </w:r>
          </w:p>
        </w:tc>
        <w:tc>
          <w:tcPr>
            <w:tcW w:type="dxa" w:w="4680"/>
          </w:tcPr>
          <w:p>
            <w:pPr>
              <w:jc w:val="left"/>
            </w:pPr>
            <w:r/>
            <w:r>
              <w:rPr>
                <w:rFonts w:ascii="宋体" w:hAnsi="宋体" w:eastAsia="宋体"/>
                <w:b w:val="0"/>
                <w:sz w:val="20"/>
              </w:rPr>
              <w:t>配合香港IT团队，支持境外量化客户的API和FIX协议接入</w:t>
            </w:r>
          </w:p>
        </w:tc>
      </w:tr>
      <w:tr>
        <w:tc>
          <w:tcPr>
            <w:tcW w:type="dxa" w:w="4680"/>
          </w:tcPr>
          <w:p>
            <w:pPr>
              <w:jc w:val="left"/>
            </w:pPr>
            <w:r/>
            <w:r>
              <w:rPr>
                <w:rFonts w:ascii="宋体" w:hAnsi="宋体" w:eastAsia="宋体"/>
                <w:b w:val="0"/>
                <w:sz w:val="20"/>
              </w:rPr>
              <w:t>客户账户管理</w:t>
            </w:r>
          </w:p>
        </w:tc>
        <w:tc>
          <w:tcPr>
            <w:tcW w:type="dxa" w:w="4680"/>
          </w:tcPr>
          <w:p>
            <w:pPr>
              <w:jc w:val="left"/>
            </w:pPr>
            <w:r/>
            <w:r>
              <w:rPr>
                <w:rFonts w:ascii="宋体" w:hAnsi="宋体" w:eastAsia="宋体"/>
                <w:b w:val="0"/>
                <w:sz w:val="20"/>
              </w:rPr>
              <w:t>对手方信息录入、信用额度设置、交易账户创建与管理</w:t>
            </w:r>
          </w:p>
        </w:tc>
      </w:tr>
      <w:tr>
        <w:tc>
          <w:tcPr>
            <w:tcW w:type="dxa" w:w="4680"/>
          </w:tcPr>
          <w:p>
            <w:pPr>
              <w:jc w:val="left"/>
            </w:pPr>
            <w:r/>
            <w:r>
              <w:rPr>
                <w:rFonts w:ascii="宋体" w:hAnsi="宋体" w:eastAsia="宋体"/>
                <w:b w:val="0"/>
                <w:sz w:val="20"/>
              </w:rPr>
              <w:t>框架合约配置</w:t>
            </w:r>
          </w:p>
        </w:tc>
        <w:tc>
          <w:tcPr>
            <w:tcW w:type="dxa" w:w="4680"/>
          </w:tcPr>
          <w:p>
            <w:pPr>
              <w:jc w:val="left"/>
            </w:pPr>
            <w:r/>
            <w:r>
              <w:rPr>
                <w:rFonts w:ascii="宋体" w:hAnsi="宋体" w:eastAsia="宋体"/>
                <w:b w:val="0"/>
                <w:sz w:val="20"/>
              </w:rPr>
              <w:t>支付方向、计息规则、保证金计算、公司行为设置等</w:t>
            </w:r>
          </w:p>
        </w:tc>
      </w:tr>
    </w:tbl>
    <w:p>
      <w:pPr>
        <w:pStyle w:val="Heading2"/>
      </w:pPr>
      <w:r>
        <w:rPr>
          <w:rFonts w:ascii="黑体" w:hAnsi="黑体" w:eastAsia="黑体"/>
          <w:b/>
          <w:sz w:val="30"/>
        </w:rPr>
        <w:t>6.3 需求梳理</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
              <w:rPr>
                <w:rFonts w:ascii="黑体" w:hAnsi="黑体" w:eastAsia="黑体"/>
                <w:b/>
                <w:sz w:val="20"/>
              </w:rPr>
              <w:t>工作项</w:t>
            </w:r>
          </w:p>
        </w:tc>
        <w:tc>
          <w:tcPr>
            <w:tcW w:type="dxa" w:w="4680"/>
          </w:tcPr>
          <w:p>
            <w:pPr>
              <w:jc w:val="center"/>
            </w:pPr>
            <w:r/>
            <w:r>
              <w:rPr>
                <w:rFonts w:ascii="黑体" w:hAnsi="黑体" w:eastAsia="黑体"/>
                <w:b/>
                <w:sz w:val="20"/>
              </w:rPr>
              <w:t>内容</w:t>
            </w:r>
          </w:p>
        </w:tc>
      </w:tr>
      <w:tr>
        <w:tc>
          <w:tcPr>
            <w:tcW w:type="dxa" w:w="4680"/>
          </w:tcPr>
          <w:p>
            <w:pPr>
              <w:jc w:val="left"/>
            </w:pPr>
            <w:r/>
            <w:r>
              <w:rPr>
                <w:rFonts w:ascii="宋体" w:hAnsi="宋体" w:eastAsia="宋体"/>
                <w:b w:val="0"/>
                <w:sz w:val="20"/>
              </w:rPr>
              <w:t>功能需求</w:t>
            </w:r>
          </w:p>
        </w:tc>
        <w:tc>
          <w:tcPr>
            <w:tcW w:type="dxa" w:w="4680"/>
          </w:tcPr>
          <w:p>
            <w:pPr>
              <w:jc w:val="left"/>
            </w:pPr>
            <w:r/>
            <w:r>
              <w:rPr>
                <w:rFonts w:ascii="宋体" w:hAnsi="宋体" w:eastAsia="宋体"/>
                <w:b w:val="0"/>
                <w:sz w:val="20"/>
              </w:rPr>
              <w:t>业务团队提出的模块需求（交易/风控/报表等）整理与优先级排序</w:t>
            </w:r>
          </w:p>
        </w:tc>
      </w:tr>
      <w:tr>
        <w:tc>
          <w:tcPr>
            <w:tcW w:type="dxa" w:w="4680"/>
          </w:tcPr>
          <w:p>
            <w:pPr>
              <w:jc w:val="left"/>
            </w:pPr>
            <w:r/>
            <w:r>
              <w:rPr>
                <w:rFonts w:ascii="宋体" w:hAnsi="宋体" w:eastAsia="宋体"/>
                <w:b w:val="0"/>
                <w:sz w:val="20"/>
              </w:rPr>
              <w:t>监管合规</w:t>
            </w:r>
          </w:p>
        </w:tc>
        <w:tc>
          <w:tcPr>
            <w:tcW w:type="dxa" w:w="4680"/>
          </w:tcPr>
          <w:p>
            <w:pPr>
              <w:jc w:val="left"/>
            </w:pPr>
            <w:r/>
            <w:r>
              <w:rPr>
                <w:rFonts w:ascii="宋体" w:hAnsi="宋体" w:eastAsia="宋体"/>
                <w:b w:val="0"/>
                <w:sz w:val="20"/>
              </w:rPr>
              <w:t>SFC拟推11号牌（OTCD交易）+ 12号牌（OTCD咨询）对系统验收的影响评估</w:t>
            </w:r>
          </w:p>
        </w:tc>
      </w:tr>
      <w:tr>
        <w:tc>
          <w:tcPr>
            <w:tcW w:type="dxa" w:w="4680"/>
          </w:tcPr>
          <w:p>
            <w:pPr>
              <w:jc w:val="left"/>
            </w:pPr>
            <w:r/>
            <w:r>
              <w:rPr>
                <w:rFonts w:ascii="宋体" w:hAnsi="宋体" w:eastAsia="宋体"/>
                <w:b w:val="0"/>
                <w:sz w:val="20"/>
              </w:rPr>
              <w:t>非功能需求</w:t>
            </w:r>
          </w:p>
        </w:tc>
        <w:tc>
          <w:tcPr>
            <w:tcW w:type="dxa" w:w="4680"/>
          </w:tcPr>
          <w:p>
            <w:pPr>
              <w:jc w:val="left"/>
            </w:pPr>
            <w:r/>
            <w:r>
              <w:rPr>
                <w:rFonts w:ascii="宋体" w:hAnsi="宋体" w:eastAsia="宋体"/>
                <w:b w:val="0"/>
                <w:sz w:val="20"/>
              </w:rPr>
              <w:t>性能（TP50/TP99延迟）、可用性、灾备等需求确认</w:t>
            </w:r>
          </w:p>
        </w:tc>
      </w:tr>
    </w:tbl>
    <w:p>
      <w:pPr>
        <w:pStyle w:val="Heading2"/>
      </w:pPr>
      <w:r>
        <w:rPr>
          <w:rFonts w:ascii="黑体" w:hAnsi="黑体" w:eastAsia="黑体"/>
          <w:b/>
          <w:sz w:val="30"/>
        </w:rPr>
        <w:t>6.4 极速客户服务</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
              <w:rPr>
                <w:rFonts w:ascii="黑体" w:hAnsi="黑体" w:eastAsia="黑体"/>
                <w:b/>
                <w:sz w:val="20"/>
              </w:rPr>
              <w:t>工作项</w:t>
            </w:r>
          </w:p>
        </w:tc>
        <w:tc>
          <w:tcPr>
            <w:tcW w:type="dxa" w:w="4680"/>
          </w:tcPr>
          <w:p>
            <w:pPr>
              <w:jc w:val="center"/>
            </w:pPr>
            <w:r/>
            <w:r>
              <w:rPr>
                <w:rFonts w:ascii="黑体" w:hAnsi="黑体" w:eastAsia="黑体"/>
                <w:b/>
                <w:sz w:val="20"/>
              </w:rPr>
              <w:t>内容</w:t>
            </w:r>
          </w:p>
        </w:tc>
      </w:tr>
      <w:tr>
        <w:tc>
          <w:tcPr>
            <w:tcW w:type="dxa" w:w="4680"/>
          </w:tcPr>
          <w:p>
            <w:pPr>
              <w:jc w:val="left"/>
            </w:pPr>
            <w:r/>
            <w:r>
              <w:rPr>
                <w:rFonts w:ascii="宋体" w:hAnsi="宋体" w:eastAsia="宋体"/>
                <w:b w:val="0"/>
                <w:sz w:val="20"/>
              </w:rPr>
              <w:t>COLO部署</w:t>
            </w:r>
          </w:p>
        </w:tc>
        <w:tc>
          <w:tcPr>
            <w:tcW w:type="dxa" w:w="4680"/>
          </w:tcPr>
          <w:p>
            <w:pPr>
              <w:jc w:val="left"/>
            </w:pPr>
            <w:r/>
            <w:r>
              <w:rPr>
                <w:rFonts w:ascii="宋体" w:hAnsi="宋体" w:eastAsia="宋体"/>
                <w:b w:val="0"/>
                <w:sz w:val="20"/>
              </w:rPr>
              <w:t>交易所托管机房的服务器部署与调试</w:t>
            </w:r>
          </w:p>
        </w:tc>
      </w:tr>
      <w:tr>
        <w:tc>
          <w:tcPr>
            <w:tcW w:type="dxa" w:w="4680"/>
          </w:tcPr>
          <w:p>
            <w:pPr>
              <w:jc w:val="left"/>
            </w:pPr>
            <w:r/>
            <w:r>
              <w:rPr>
                <w:rFonts w:ascii="宋体" w:hAnsi="宋体" w:eastAsia="宋体"/>
                <w:b w:val="0"/>
                <w:sz w:val="20"/>
              </w:rPr>
              <w:t>策略对接</w:t>
            </w:r>
          </w:p>
        </w:tc>
        <w:tc>
          <w:tcPr>
            <w:tcW w:type="dxa" w:w="4680"/>
          </w:tcPr>
          <w:p>
            <w:pPr>
              <w:jc w:val="left"/>
            </w:pPr>
            <w:r/>
            <w:r>
              <w:rPr>
                <w:rFonts w:ascii="宋体" w:hAnsi="宋体" w:eastAsia="宋体"/>
                <w:b w:val="0"/>
                <w:sz w:val="20"/>
              </w:rPr>
              <w:t>客户策略系统与COLO极速柜台的对接授权</w:t>
            </w:r>
          </w:p>
        </w:tc>
      </w:tr>
      <w:tr>
        <w:tc>
          <w:tcPr>
            <w:tcW w:type="dxa" w:w="4680"/>
          </w:tcPr>
          <w:p>
            <w:pPr>
              <w:jc w:val="left"/>
            </w:pPr>
            <w:r/>
            <w:r>
              <w:rPr>
                <w:rFonts w:ascii="宋体" w:hAnsi="宋体" w:eastAsia="宋体"/>
                <w:b w:val="0"/>
                <w:sz w:val="20"/>
              </w:rPr>
              <w:t>性能调优</w:t>
            </w:r>
          </w:p>
        </w:tc>
        <w:tc>
          <w:tcPr>
            <w:tcW w:type="dxa" w:w="4680"/>
          </w:tcPr>
          <w:p>
            <w:pPr>
              <w:jc w:val="left"/>
            </w:pPr>
            <w:r/>
            <w:r>
              <w:rPr>
                <w:rFonts w:ascii="宋体" w:hAnsi="宋体" w:eastAsia="宋体"/>
                <w:b w:val="0"/>
                <w:sz w:val="20"/>
              </w:rPr>
              <w:t>订单穿透延迟优化（目标TP50&lt;10μs）</w:t>
            </w:r>
          </w:p>
        </w:tc>
      </w:tr>
      <w:tr>
        <w:tc>
          <w:tcPr>
            <w:tcW w:type="dxa" w:w="4680"/>
          </w:tcPr>
          <w:p>
            <w:pPr>
              <w:jc w:val="left"/>
            </w:pPr>
            <w:r/>
            <w:r>
              <w:rPr>
                <w:rFonts w:ascii="宋体" w:hAnsi="宋体" w:eastAsia="宋体"/>
                <w:b w:val="0"/>
                <w:sz w:val="20"/>
              </w:rPr>
              <w:t>反采流程</w:t>
            </w:r>
          </w:p>
        </w:tc>
        <w:tc>
          <w:tcPr>
            <w:tcW w:type="dxa" w:w="4680"/>
          </w:tcPr>
          <w:p>
            <w:pPr>
              <w:jc w:val="left"/>
            </w:pPr>
            <w:r/>
            <w:r>
              <w:rPr>
                <w:rFonts w:ascii="宋体" w:hAnsi="宋体" w:eastAsia="宋体"/>
                <w:b w:val="0"/>
                <w:sz w:val="20"/>
              </w:rPr>
              <w:t>服务器反向采购并部署到境外客户/交易所机房的流程跟进</w:t>
            </w:r>
          </w:p>
        </w:tc>
      </w:tr>
    </w:tbl>
    <w:p>
      <w:r>
        <w:br w:type="page"/>
      </w:r>
    </w:p>
    <w:p>
      <w:pPr>
        <w:pStyle w:val="Heading1"/>
      </w:pPr>
      <w:r>
        <w:rPr>
          <w:rFonts w:ascii="黑体" w:hAnsi="黑体" w:eastAsia="黑体"/>
          <w:b/>
          <w:sz w:val="36"/>
        </w:rPr>
        <w:t>七、验收要点</w:t>
      </w:r>
    </w:p>
    <w:p>
      <w:pPr>
        <w:spacing w:before="0" w:after="120" w:line="360" w:lineRule="auto"/>
        <w:ind w:firstLine="480"/>
        <w:jc w:val="left"/>
      </w:pPr>
      <w:r>
        <w:rPr>
          <w:rFonts w:ascii="宋体" w:hAnsi="宋体" w:eastAsia="宋体"/>
          <w:b w:val="0"/>
          <w:sz w:val="24"/>
        </w:rPr>
        <w:t>根网盈通系统验收需关注以下维度：</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
              <w:rPr>
                <w:rFonts w:ascii="黑体" w:hAnsi="黑体" w:eastAsia="黑体"/>
                <w:b/>
                <w:sz w:val="20"/>
              </w:rPr>
              <w:t>验收维度</w:t>
            </w:r>
          </w:p>
        </w:tc>
        <w:tc>
          <w:tcPr>
            <w:tcW w:type="dxa" w:w="3120"/>
          </w:tcPr>
          <w:p>
            <w:pPr>
              <w:jc w:val="center"/>
            </w:pPr>
            <w:r/>
            <w:r>
              <w:rPr>
                <w:rFonts w:ascii="黑体" w:hAnsi="黑体" w:eastAsia="黑体"/>
                <w:b/>
                <w:sz w:val="20"/>
              </w:rPr>
              <w:t>要点</w:t>
            </w:r>
          </w:p>
        </w:tc>
        <w:tc>
          <w:tcPr>
            <w:tcW w:type="dxa" w:w="3120"/>
          </w:tcPr>
          <w:p>
            <w:pPr>
              <w:jc w:val="center"/>
            </w:pPr>
            <w:r/>
            <w:r>
              <w:rPr>
                <w:rFonts w:ascii="黑体" w:hAnsi="黑体" w:eastAsia="黑体"/>
                <w:b/>
                <w:sz w:val="20"/>
              </w:rPr>
              <w:t>说明</w:t>
            </w:r>
          </w:p>
        </w:tc>
      </w:tr>
      <w:tr>
        <w:tc>
          <w:tcPr>
            <w:tcW w:type="dxa" w:w="3120"/>
          </w:tcPr>
          <w:p>
            <w:pPr>
              <w:jc w:val="left"/>
            </w:pPr>
            <w:r/>
            <w:r>
              <w:rPr>
                <w:rFonts w:ascii="宋体" w:hAnsi="宋体" w:eastAsia="宋体"/>
                <w:b w:val="0"/>
                <w:sz w:val="20"/>
              </w:rPr>
              <w:t>功能完整性</w:t>
            </w:r>
          </w:p>
        </w:tc>
        <w:tc>
          <w:tcPr>
            <w:tcW w:type="dxa" w:w="3120"/>
          </w:tcPr>
          <w:p>
            <w:pPr>
              <w:jc w:val="left"/>
            </w:pPr>
            <w:r/>
            <w:r>
              <w:rPr>
                <w:rFonts w:ascii="宋体" w:hAnsi="宋体" w:eastAsia="宋体"/>
                <w:b w:val="0"/>
                <w:sz w:val="20"/>
              </w:rPr>
              <w:t>按功能清单逐项验收</w:t>
            </w:r>
          </w:p>
        </w:tc>
        <w:tc>
          <w:tcPr>
            <w:tcW w:type="dxa" w:w="3120"/>
          </w:tcPr>
          <w:p>
            <w:pPr>
              <w:jc w:val="left"/>
            </w:pPr>
            <w:r/>
            <w:r>
              <w:rPr>
                <w:rFonts w:ascii="宋体" w:hAnsi="宋体" w:eastAsia="宋体"/>
                <w:b w:val="0"/>
                <w:sz w:val="20"/>
              </w:rPr>
              <w:t>IMS/OTCD/SBL/COLO/BrokerFill/风控/运维监控 七大模块</w:t>
            </w:r>
          </w:p>
        </w:tc>
      </w:tr>
      <w:tr>
        <w:tc>
          <w:tcPr>
            <w:tcW w:type="dxa" w:w="3120"/>
          </w:tcPr>
          <w:p>
            <w:pPr>
              <w:jc w:val="left"/>
            </w:pPr>
            <w:r/>
            <w:r>
              <w:rPr>
                <w:rFonts w:ascii="宋体" w:hAnsi="宋体" w:eastAsia="宋体"/>
                <w:b w:val="0"/>
                <w:sz w:val="20"/>
              </w:rPr>
              <w:t>接口对接</w:t>
            </w:r>
          </w:p>
        </w:tc>
        <w:tc>
          <w:tcPr>
            <w:tcW w:type="dxa" w:w="3120"/>
          </w:tcPr>
          <w:p>
            <w:pPr>
              <w:jc w:val="left"/>
            </w:pPr>
            <w:r/>
            <w:r>
              <w:rPr>
                <w:rFonts w:ascii="宋体" w:hAnsi="宋体" w:eastAsia="宋体"/>
                <w:b w:val="0"/>
                <w:sz w:val="20"/>
              </w:rPr>
              <w:t>FIX协议验收</w:t>
            </w:r>
          </w:p>
        </w:tc>
        <w:tc>
          <w:tcPr>
            <w:tcW w:type="dxa" w:w="3120"/>
          </w:tcPr>
          <w:p>
            <w:pPr>
              <w:jc w:val="left"/>
            </w:pPr>
            <w:r/>
            <w:r>
              <w:rPr>
                <w:rFonts w:ascii="宋体" w:hAnsi="宋体" w:eastAsia="宋体"/>
                <w:b w:val="0"/>
                <w:sz w:val="20"/>
              </w:rPr>
              <w:t>连接稳定性、消息格式合规、会话管理、异常恢复</w:t>
            </w:r>
          </w:p>
        </w:tc>
      </w:tr>
      <w:tr>
        <w:tc>
          <w:tcPr>
            <w:tcW w:type="dxa" w:w="3120"/>
          </w:tcPr>
          <w:p>
            <w:pPr>
              <w:jc w:val="left"/>
            </w:pPr>
            <w:r/>
            <w:r>
              <w:rPr>
                <w:rFonts w:ascii="宋体" w:hAnsi="宋体" w:eastAsia="宋体"/>
                <w:b w:val="0"/>
                <w:sz w:val="20"/>
              </w:rPr>
              <w:t>接口对接</w:t>
            </w:r>
          </w:p>
        </w:tc>
        <w:tc>
          <w:tcPr>
            <w:tcW w:type="dxa" w:w="3120"/>
          </w:tcPr>
          <w:p>
            <w:pPr>
              <w:jc w:val="left"/>
            </w:pPr>
            <w:r/>
            <w:r>
              <w:rPr>
                <w:rFonts w:ascii="宋体" w:hAnsi="宋体" w:eastAsia="宋体"/>
                <w:b w:val="0"/>
                <w:sz w:val="20"/>
              </w:rPr>
              <w:t>API接口验收</w:t>
            </w:r>
          </w:p>
        </w:tc>
        <w:tc>
          <w:tcPr>
            <w:tcW w:type="dxa" w:w="3120"/>
          </w:tcPr>
          <w:p>
            <w:pPr>
              <w:jc w:val="left"/>
            </w:pPr>
            <w:r/>
            <w:r>
              <w:rPr>
                <w:rFonts w:ascii="宋体" w:hAnsi="宋体" w:eastAsia="宋体"/>
                <w:b w:val="0"/>
                <w:sz w:val="20"/>
              </w:rPr>
              <w:t>RESTful接口功能完整性、响应时间、错误处理</w:t>
            </w:r>
          </w:p>
        </w:tc>
      </w:tr>
      <w:tr>
        <w:tc>
          <w:tcPr>
            <w:tcW w:type="dxa" w:w="3120"/>
          </w:tcPr>
          <w:p>
            <w:pPr>
              <w:jc w:val="left"/>
            </w:pPr>
            <w:r/>
            <w:r>
              <w:rPr>
                <w:rFonts w:ascii="宋体" w:hAnsi="宋体" w:eastAsia="宋体"/>
                <w:b w:val="0"/>
                <w:sz w:val="20"/>
              </w:rPr>
              <w:t>性能指标</w:t>
            </w:r>
          </w:p>
        </w:tc>
        <w:tc>
          <w:tcPr>
            <w:tcW w:type="dxa" w:w="3120"/>
          </w:tcPr>
          <w:p>
            <w:pPr>
              <w:jc w:val="left"/>
            </w:pPr>
            <w:r/>
            <w:r>
              <w:rPr>
                <w:rFonts w:ascii="宋体" w:hAnsi="宋体" w:eastAsia="宋体"/>
                <w:b w:val="0"/>
                <w:sz w:val="20"/>
              </w:rPr>
              <w:t>COLO延迟</w:t>
            </w:r>
          </w:p>
        </w:tc>
        <w:tc>
          <w:tcPr>
            <w:tcW w:type="dxa" w:w="3120"/>
          </w:tcPr>
          <w:p>
            <w:pPr>
              <w:jc w:val="left"/>
            </w:pPr>
            <w:r/>
            <w:r>
              <w:rPr>
                <w:rFonts w:ascii="宋体" w:hAnsi="宋体" w:eastAsia="宋体"/>
                <w:b w:val="0"/>
                <w:sz w:val="20"/>
              </w:rPr>
              <w:t>订单上行穿透 TP50 &lt; 10μs</w:t>
            </w:r>
          </w:p>
        </w:tc>
      </w:tr>
      <w:tr>
        <w:tc>
          <w:tcPr>
            <w:tcW w:type="dxa" w:w="3120"/>
          </w:tcPr>
          <w:p>
            <w:pPr>
              <w:jc w:val="left"/>
            </w:pPr>
            <w:r/>
            <w:r>
              <w:rPr>
                <w:rFonts w:ascii="宋体" w:hAnsi="宋体" w:eastAsia="宋体"/>
                <w:b w:val="0"/>
                <w:sz w:val="20"/>
              </w:rPr>
              <w:t>性能指标</w:t>
            </w:r>
          </w:p>
        </w:tc>
        <w:tc>
          <w:tcPr>
            <w:tcW w:type="dxa" w:w="3120"/>
          </w:tcPr>
          <w:p>
            <w:pPr>
              <w:jc w:val="left"/>
            </w:pPr>
            <w:r/>
            <w:r>
              <w:rPr>
                <w:rFonts w:ascii="宋体" w:hAnsi="宋体" w:eastAsia="宋体"/>
                <w:b w:val="0"/>
                <w:sz w:val="20"/>
              </w:rPr>
              <w:t>交易吞吐量</w:t>
            </w:r>
          </w:p>
        </w:tc>
        <w:tc>
          <w:tcPr>
            <w:tcW w:type="dxa" w:w="3120"/>
          </w:tcPr>
          <w:p>
            <w:pPr>
              <w:jc w:val="left"/>
            </w:pPr>
            <w:r/>
            <w:r>
              <w:rPr>
                <w:rFonts w:ascii="宋体" w:hAnsi="宋体" w:eastAsia="宋体"/>
                <w:b w:val="0"/>
                <w:sz w:val="20"/>
              </w:rPr>
              <w:t>峰值订单处理能力（视业务量确定基线）</w:t>
            </w:r>
          </w:p>
        </w:tc>
      </w:tr>
      <w:tr>
        <w:tc>
          <w:tcPr>
            <w:tcW w:type="dxa" w:w="3120"/>
          </w:tcPr>
          <w:p>
            <w:pPr>
              <w:jc w:val="left"/>
            </w:pPr>
            <w:r/>
            <w:r>
              <w:rPr>
                <w:rFonts w:ascii="宋体" w:hAnsi="宋体" w:eastAsia="宋体"/>
                <w:b w:val="0"/>
                <w:sz w:val="20"/>
              </w:rPr>
              <w:t>风控有效性</w:t>
            </w:r>
          </w:p>
        </w:tc>
        <w:tc>
          <w:tcPr>
            <w:tcW w:type="dxa" w:w="3120"/>
          </w:tcPr>
          <w:p>
            <w:pPr>
              <w:jc w:val="left"/>
            </w:pPr>
            <w:r/>
            <w:r>
              <w:rPr>
                <w:rFonts w:ascii="宋体" w:hAnsi="宋体" w:eastAsia="宋体"/>
                <w:b w:val="0"/>
                <w:sz w:val="20"/>
              </w:rPr>
              <w:t>事前风控</w:t>
            </w:r>
          </w:p>
        </w:tc>
        <w:tc>
          <w:tcPr>
            <w:tcW w:type="dxa" w:w="3120"/>
          </w:tcPr>
          <w:p>
            <w:pPr>
              <w:jc w:val="left"/>
            </w:pPr>
            <w:r/>
            <w:r>
              <w:rPr>
                <w:rFonts w:ascii="宋体" w:hAnsi="宋体" w:eastAsia="宋体"/>
                <w:b w:val="0"/>
                <w:sz w:val="20"/>
              </w:rPr>
              <w:t>IMS 10条 + COLO 13条 规则全覆盖测试</w:t>
            </w:r>
          </w:p>
        </w:tc>
      </w:tr>
      <w:tr>
        <w:tc>
          <w:tcPr>
            <w:tcW w:type="dxa" w:w="3120"/>
          </w:tcPr>
          <w:p>
            <w:pPr>
              <w:jc w:val="left"/>
            </w:pPr>
            <w:r/>
            <w:r>
              <w:rPr>
                <w:rFonts w:ascii="宋体" w:hAnsi="宋体" w:eastAsia="宋体"/>
                <w:b w:val="0"/>
                <w:sz w:val="20"/>
              </w:rPr>
              <w:t>风控有效性</w:t>
            </w:r>
          </w:p>
        </w:tc>
        <w:tc>
          <w:tcPr>
            <w:tcW w:type="dxa" w:w="3120"/>
          </w:tcPr>
          <w:p>
            <w:pPr>
              <w:jc w:val="left"/>
            </w:pPr>
            <w:r/>
            <w:r>
              <w:rPr>
                <w:rFonts w:ascii="宋体" w:hAnsi="宋体" w:eastAsia="宋体"/>
                <w:b w:val="0"/>
                <w:sz w:val="20"/>
              </w:rPr>
              <w:t>事后风控</w:t>
            </w:r>
          </w:p>
        </w:tc>
        <w:tc>
          <w:tcPr>
            <w:tcW w:type="dxa" w:w="3120"/>
          </w:tcPr>
          <w:p>
            <w:pPr>
              <w:jc w:val="left"/>
            </w:pPr>
            <w:r/>
            <w:r>
              <w:rPr>
                <w:rFonts w:ascii="宋体" w:hAnsi="宋体" w:eastAsia="宋体"/>
                <w:b w:val="0"/>
                <w:sz w:val="20"/>
              </w:rPr>
              <w:t>多空组合风险监控准确性</w:t>
            </w:r>
          </w:p>
        </w:tc>
      </w:tr>
      <w:tr>
        <w:tc>
          <w:tcPr>
            <w:tcW w:type="dxa" w:w="3120"/>
          </w:tcPr>
          <w:p>
            <w:pPr>
              <w:jc w:val="left"/>
            </w:pPr>
            <w:r/>
            <w:r>
              <w:rPr>
                <w:rFonts w:ascii="宋体" w:hAnsi="宋体" w:eastAsia="宋体"/>
                <w:b w:val="0"/>
                <w:sz w:val="20"/>
              </w:rPr>
              <w:t>数据对账</w:t>
            </w:r>
          </w:p>
        </w:tc>
        <w:tc>
          <w:tcPr>
            <w:tcW w:type="dxa" w:w="3120"/>
          </w:tcPr>
          <w:p>
            <w:pPr>
              <w:jc w:val="left"/>
            </w:pPr>
            <w:r/>
            <w:r>
              <w:rPr>
                <w:rFonts w:ascii="宋体" w:hAnsi="宋体" w:eastAsia="宋体"/>
                <w:b w:val="0"/>
                <w:sz w:val="20"/>
              </w:rPr>
              <w:t>成交流水核对</w:t>
            </w:r>
          </w:p>
        </w:tc>
        <w:tc>
          <w:tcPr>
            <w:tcW w:type="dxa" w:w="3120"/>
          </w:tcPr>
          <w:p>
            <w:pPr>
              <w:jc w:val="left"/>
            </w:pPr>
            <w:r/>
            <w:r>
              <w:rPr>
                <w:rFonts w:ascii="宋体" w:hAnsi="宋体" w:eastAsia="宋体"/>
                <w:b w:val="0"/>
                <w:sz w:val="20"/>
              </w:rPr>
              <w:t>场外vs场内、场内vs中登 两两核对零差异</w:t>
            </w:r>
          </w:p>
        </w:tc>
      </w:tr>
      <w:tr>
        <w:tc>
          <w:tcPr>
            <w:tcW w:type="dxa" w:w="3120"/>
          </w:tcPr>
          <w:p>
            <w:pPr>
              <w:jc w:val="left"/>
            </w:pPr>
            <w:r/>
            <w:r>
              <w:rPr>
                <w:rFonts w:ascii="宋体" w:hAnsi="宋体" w:eastAsia="宋体"/>
                <w:b w:val="0"/>
                <w:sz w:val="20"/>
              </w:rPr>
              <w:t>清算准确性</w:t>
            </w:r>
          </w:p>
        </w:tc>
        <w:tc>
          <w:tcPr>
            <w:tcW w:type="dxa" w:w="3120"/>
          </w:tcPr>
          <w:p>
            <w:pPr>
              <w:jc w:val="left"/>
            </w:pPr>
            <w:r/>
            <w:r>
              <w:rPr>
                <w:rFonts w:ascii="宋体" w:hAnsi="宋体" w:eastAsia="宋体"/>
                <w:b w:val="0"/>
                <w:sz w:val="20"/>
              </w:rPr>
              <w:t>日终清算</w:t>
            </w:r>
          </w:p>
        </w:tc>
        <w:tc>
          <w:tcPr>
            <w:tcW w:type="dxa" w:w="3120"/>
          </w:tcPr>
          <w:p>
            <w:pPr>
              <w:jc w:val="left"/>
            </w:pPr>
            <w:r/>
            <w:r>
              <w:rPr>
                <w:rFonts w:ascii="宋体" w:hAnsi="宋体" w:eastAsia="宋体"/>
                <w:b w:val="0"/>
                <w:sz w:val="20"/>
              </w:rPr>
              <w:t>清算流程完整性、资金/持仓/估值数据准确性</w:t>
            </w:r>
          </w:p>
        </w:tc>
      </w:tr>
      <w:tr>
        <w:tc>
          <w:tcPr>
            <w:tcW w:type="dxa" w:w="3120"/>
          </w:tcPr>
          <w:p>
            <w:pPr>
              <w:jc w:val="left"/>
            </w:pPr>
            <w:r/>
            <w:r>
              <w:rPr>
                <w:rFonts w:ascii="宋体" w:hAnsi="宋体" w:eastAsia="宋体"/>
                <w:b w:val="0"/>
                <w:sz w:val="20"/>
              </w:rPr>
              <w:t>灾备切换</w:t>
            </w:r>
          </w:p>
        </w:tc>
        <w:tc>
          <w:tcPr>
            <w:tcW w:type="dxa" w:w="3120"/>
          </w:tcPr>
          <w:p>
            <w:pPr>
              <w:jc w:val="left"/>
            </w:pPr>
            <w:r/>
            <w:r>
              <w:rPr>
                <w:rFonts w:ascii="宋体" w:hAnsi="宋体" w:eastAsia="宋体"/>
                <w:b w:val="0"/>
                <w:sz w:val="20"/>
              </w:rPr>
              <w:t>主备切换</w:t>
            </w:r>
          </w:p>
        </w:tc>
        <w:tc>
          <w:tcPr>
            <w:tcW w:type="dxa" w:w="3120"/>
          </w:tcPr>
          <w:p>
            <w:pPr>
              <w:jc w:val="left"/>
            </w:pPr>
            <w:r/>
            <w:r>
              <w:rPr>
                <w:rFonts w:ascii="宋体" w:hAnsi="宋体" w:eastAsia="宋体"/>
                <w:b w:val="0"/>
                <w:sz w:val="20"/>
              </w:rPr>
              <w:t>数据库主备切换、COLO主备机房切换 RTO/RPO</w:t>
            </w:r>
          </w:p>
        </w:tc>
      </w:tr>
      <w:tr>
        <w:tc>
          <w:tcPr>
            <w:tcW w:type="dxa" w:w="3120"/>
          </w:tcPr>
          <w:p>
            <w:pPr>
              <w:jc w:val="left"/>
            </w:pPr>
            <w:r/>
            <w:r>
              <w:rPr>
                <w:rFonts w:ascii="宋体" w:hAnsi="宋体" w:eastAsia="宋体"/>
                <w:b w:val="0"/>
                <w:sz w:val="20"/>
              </w:rPr>
              <w:t>监控告警</w:t>
            </w:r>
          </w:p>
        </w:tc>
        <w:tc>
          <w:tcPr>
            <w:tcW w:type="dxa" w:w="3120"/>
          </w:tcPr>
          <w:p>
            <w:pPr>
              <w:jc w:val="left"/>
            </w:pPr>
            <w:r/>
            <w:r>
              <w:rPr>
                <w:rFonts w:ascii="宋体" w:hAnsi="宋体" w:eastAsia="宋体"/>
                <w:b w:val="0"/>
                <w:sz w:val="20"/>
              </w:rPr>
              <w:t>运维监控</w:t>
            </w:r>
          </w:p>
        </w:tc>
        <w:tc>
          <w:tcPr>
            <w:tcW w:type="dxa" w:w="3120"/>
          </w:tcPr>
          <w:p>
            <w:pPr>
              <w:jc w:val="left"/>
            </w:pPr>
            <w:r/>
            <w:r>
              <w:rPr>
                <w:rFonts w:ascii="宋体" w:hAnsi="宋体" w:eastAsia="宋体"/>
                <w:b w:val="0"/>
                <w:sz w:val="20"/>
              </w:rPr>
              <w:t>盘前中后检查、FIX会话监控、订单链路耗时统计</w:t>
            </w:r>
          </w:p>
        </w:tc>
      </w:tr>
      <w:tr>
        <w:tc>
          <w:tcPr>
            <w:tcW w:type="dxa" w:w="3120"/>
          </w:tcPr>
          <w:p>
            <w:pPr>
              <w:jc w:val="left"/>
            </w:pPr>
            <w:r/>
            <w:r>
              <w:rPr>
                <w:rFonts w:ascii="宋体" w:hAnsi="宋体" w:eastAsia="宋体"/>
                <w:b w:val="0"/>
                <w:sz w:val="20"/>
              </w:rPr>
              <w:t>监管合规</w:t>
            </w:r>
          </w:p>
        </w:tc>
        <w:tc>
          <w:tcPr>
            <w:tcW w:type="dxa" w:w="3120"/>
          </w:tcPr>
          <w:p>
            <w:pPr>
              <w:jc w:val="left"/>
            </w:pPr>
            <w:r/>
            <w:r>
              <w:rPr>
                <w:rFonts w:ascii="宋体" w:hAnsi="宋体" w:eastAsia="宋体"/>
                <w:b w:val="0"/>
                <w:sz w:val="20"/>
              </w:rPr>
              <w:t>HKTR报送</w:t>
            </w:r>
          </w:p>
        </w:tc>
        <w:tc>
          <w:tcPr>
            <w:tcW w:type="dxa" w:w="3120"/>
          </w:tcPr>
          <w:p>
            <w:pPr>
              <w:jc w:val="left"/>
            </w:pPr>
            <w:r/>
            <w:r>
              <w:rPr>
                <w:rFonts w:ascii="宋体" w:hAnsi="宋体" w:eastAsia="宋体"/>
                <w:b w:val="0"/>
                <w:sz w:val="20"/>
              </w:rPr>
              <w:t>对手方不参与HKTR报送选项功能验证</w:t>
            </w:r>
          </w:p>
        </w:tc>
      </w:tr>
      <w:tr>
        <w:tc>
          <w:tcPr>
            <w:tcW w:type="dxa" w:w="3120"/>
          </w:tcPr>
          <w:p>
            <w:pPr>
              <w:jc w:val="left"/>
            </w:pPr>
            <w:r/>
            <w:r>
              <w:rPr>
                <w:rFonts w:ascii="宋体" w:hAnsi="宋体" w:eastAsia="宋体"/>
                <w:b w:val="0"/>
                <w:sz w:val="20"/>
              </w:rPr>
              <w:t>监管合规</w:t>
            </w:r>
          </w:p>
        </w:tc>
        <w:tc>
          <w:tcPr>
            <w:tcW w:type="dxa" w:w="3120"/>
          </w:tcPr>
          <w:p>
            <w:pPr>
              <w:jc w:val="left"/>
            </w:pPr>
            <w:r/>
            <w:r>
              <w:rPr>
                <w:rFonts w:ascii="宋体" w:hAnsi="宋体" w:eastAsia="宋体"/>
                <w:b w:val="0"/>
                <w:sz w:val="20"/>
              </w:rPr>
              <w:t>SFC 11/12号牌</w:t>
            </w:r>
          </w:p>
        </w:tc>
        <w:tc>
          <w:tcPr>
            <w:tcW w:type="dxa" w:w="3120"/>
          </w:tcPr>
          <w:p>
            <w:pPr>
              <w:jc w:val="left"/>
            </w:pPr>
            <w:r/>
            <w:r>
              <w:rPr>
                <w:rFonts w:ascii="宋体" w:hAnsi="宋体" w:eastAsia="宋体"/>
                <w:b w:val="0"/>
                <w:sz w:val="20"/>
              </w:rPr>
              <w:t>系统是否满足SFC拟推出的交易/咨询牌照要求</w:t>
            </w:r>
          </w:p>
        </w:tc>
      </w:tr>
    </w:tbl>
    <w:p>
      <w:r>
        <w:br w:type="page"/>
      </w:r>
    </w:p>
    <w:p>
      <w:pPr>
        <w:pStyle w:val="Heading1"/>
      </w:pPr>
      <w:r>
        <w:rPr>
          <w:rFonts w:ascii="黑体" w:hAnsi="黑体" w:eastAsia="黑体"/>
          <w:b/>
          <w:sz w:val="36"/>
        </w:rPr>
        <w:t>八、附录：架构功能映射图</w:t>
      </w:r>
    </w:p>
    <w:p>
      <w:pPr>
        <w:spacing w:before="0" w:after="120" w:line="360" w:lineRule="auto"/>
        <w:ind w:firstLine="480"/>
        <w:jc w:val="left"/>
      </w:pPr>
      <w:r>
        <w:rPr>
          <w:rFonts w:ascii="宋体" w:hAnsi="宋体" w:eastAsia="宋体"/>
          <w:b w:val="0"/>
          <w:sz w:val="24"/>
        </w:rPr>
        <w:t>以下为根网盈通北向DMA系统架构与功能清单的对照映射图。</w:t>
      </w:r>
    </w:p>
    <w:p>
      <w:pPr>
        <w:spacing w:before="0" w:after="240" w:line="360" w:lineRule="auto"/>
        <w:ind w:firstLine="480"/>
        <w:jc w:val="left"/>
      </w:pPr>
      <w:r>
        <w:rPr>
          <w:rFonts w:ascii="宋体" w:hAnsi="宋体" w:eastAsia="宋体"/>
          <w:b w:val="0"/>
          <w:sz w:val="24"/>
        </w:rPr>
        <w:t>蓝色 = 客户接入层 | 橙色 = 代理中转 | 紫色 = 核心业务层 | 绿色 = 境内执行层 | 粉色 = 根网独有（同余无）</w:t>
      </w:r>
    </w:p>
    <w:p>
      <w:pPr>
        <w:spacing w:before="0" w:after="120" w:line="360" w:lineRule="auto"/>
        <w:ind w:firstLine="480"/>
        <w:jc w:val="left"/>
      </w:pPr>
      <w:r>
        <w:rPr>
          <w:rFonts w:ascii="宋体" w:hAnsi="宋体" w:eastAsia="宋体"/>
          <w:b w:val="0"/>
          <w:sz w:val="24"/>
        </w:rPr>
        <w:t>（详见独立文件 genwang-arch-mapping.svg，或访问 https://heyapple128.github.io/xywork/genwang-arch/ 查看交互版）</w:t>
      </w:r>
    </w:p>
    <w:p>
      <w:pPr>
        <w:spacing w:before="0" w:after="120" w:line="360" w:lineRule="auto"/>
        <w:jc w:val="left"/>
      </w:pPr>
      <w:r>
        <w:rPr>
          <w:rFonts w:ascii="宋体" w:hAnsi="宋体" w:eastAsia="宋体"/>
          <w:b w:val="0"/>
          <w:sz w:val="12"/>
        </w:rPr>
      </w:r>
    </w:p>
    <w:p>
      <w:pPr>
        <w:pStyle w:val="Heading2"/>
      </w:pPr>
      <w:r>
        <w:rPr>
          <w:rFonts w:ascii="黑体" w:hAnsi="黑体" w:eastAsia="黑体"/>
          <w:b/>
          <w:sz w:val="30"/>
        </w:rPr>
        <w:t>相关文件清单</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
              <w:rPr>
                <w:rFonts w:ascii="黑体" w:hAnsi="黑体" w:eastAsia="黑体"/>
                <w:b/>
                <w:sz w:val="20"/>
              </w:rPr>
              <w:t>文件</w:t>
            </w:r>
          </w:p>
        </w:tc>
        <w:tc>
          <w:tcPr>
            <w:tcW w:type="dxa" w:w="4680"/>
          </w:tcPr>
          <w:p>
            <w:pPr>
              <w:jc w:val="center"/>
            </w:pPr>
            <w:r/>
            <w:r>
              <w:rPr>
                <w:rFonts w:ascii="黑体" w:hAnsi="黑体" w:eastAsia="黑体"/>
                <w:b/>
                <w:sz w:val="20"/>
              </w:rPr>
              <w:t>说明</w:t>
            </w:r>
          </w:p>
        </w:tc>
      </w:tr>
      <w:tr>
        <w:tc>
          <w:tcPr>
            <w:tcW w:type="dxa" w:w="4680"/>
          </w:tcPr>
          <w:p>
            <w:pPr>
              <w:jc w:val="left"/>
            </w:pPr>
            <w:r/>
            <w:r>
              <w:rPr>
                <w:rFonts w:ascii="宋体" w:hAnsi="宋体" w:eastAsia="宋体"/>
                <w:b w:val="0"/>
                <w:sz w:val="20"/>
              </w:rPr>
              <w:t>genwang-arch-mapping.svg</w:t>
            </w:r>
          </w:p>
        </w:tc>
        <w:tc>
          <w:tcPr>
            <w:tcW w:type="dxa" w:w="4680"/>
          </w:tcPr>
          <w:p>
            <w:pPr>
              <w:jc w:val="left"/>
            </w:pPr>
            <w:r/>
            <w:r>
              <w:rPr>
                <w:rFonts w:ascii="宋体" w:hAnsi="宋体" w:eastAsia="宋体"/>
                <w:b w:val="0"/>
                <w:sz w:val="20"/>
              </w:rPr>
              <w:t>架构功能映射图（SVG矢量图）</w:t>
            </w:r>
          </w:p>
        </w:tc>
      </w:tr>
      <w:tr>
        <w:tc>
          <w:tcPr>
            <w:tcW w:type="dxa" w:w="4680"/>
          </w:tcPr>
          <w:p>
            <w:pPr>
              <w:jc w:val="left"/>
            </w:pPr>
            <w:r/>
            <w:r>
              <w:rPr>
                <w:rFonts w:ascii="宋体" w:hAnsi="宋体" w:eastAsia="宋体"/>
                <w:b w:val="0"/>
                <w:sz w:val="20"/>
              </w:rPr>
              <w:t>genwang-arch-mapping.excalidraw</w:t>
            </w:r>
          </w:p>
        </w:tc>
        <w:tc>
          <w:tcPr>
            <w:tcW w:type="dxa" w:w="4680"/>
          </w:tcPr>
          <w:p>
            <w:pPr>
              <w:jc w:val="left"/>
            </w:pPr>
            <w:r/>
            <w:r>
              <w:rPr>
                <w:rFonts w:ascii="宋体" w:hAnsi="宋体" w:eastAsia="宋体"/>
                <w:b w:val="0"/>
                <w:sz w:val="20"/>
              </w:rPr>
              <w:t>架构图源文件（可在excalidraw.com编辑）</w:t>
            </w:r>
          </w:p>
        </w:tc>
      </w:tr>
      <w:tr>
        <w:tc>
          <w:tcPr>
            <w:tcW w:type="dxa" w:w="4680"/>
          </w:tcPr>
          <w:p>
            <w:pPr>
              <w:jc w:val="left"/>
            </w:pPr>
            <w:r/>
            <w:r>
              <w:rPr>
                <w:rFonts w:ascii="宋体" w:hAnsi="宋体" w:eastAsia="宋体"/>
                <w:b w:val="0"/>
                <w:sz w:val="20"/>
              </w:rPr>
              <w:t>功能清单_20260623.xlsx</w:t>
            </w:r>
          </w:p>
        </w:tc>
        <w:tc>
          <w:tcPr>
            <w:tcW w:type="dxa" w:w="4680"/>
          </w:tcPr>
          <w:p>
            <w:pPr>
              <w:jc w:val="left"/>
            </w:pPr>
            <w:r/>
            <w:r>
              <w:rPr>
                <w:rFonts w:ascii="宋体" w:hAnsi="宋体" w:eastAsia="宋体"/>
                <w:b w:val="0"/>
                <w:sz w:val="20"/>
              </w:rPr>
              <w:t>根网盈通完整功能清单（IMS+OTCD+SBL+COLO+风控+运维）</w:t>
            </w:r>
          </w:p>
        </w:tc>
      </w:tr>
      <w:tr>
        <w:tc>
          <w:tcPr>
            <w:tcW w:type="dxa" w:w="4680"/>
          </w:tcPr>
          <w:p>
            <w:pPr>
              <w:jc w:val="left"/>
            </w:pPr>
            <w:r/>
            <w:r>
              <w:rPr>
                <w:rFonts w:ascii="宋体" w:hAnsi="宋体" w:eastAsia="宋体"/>
                <w:b w:val="0"/>
                <w:sz w:val="20"/>
              </w:rPr>
              <w:t>https://heyapple128.github.io/xywork/genwang-arch/</w:t>
            </w:r>
          </w:p>
        </w:tc>
        <w:tc>
          <w:tcPr>
            <w:tcW w:type="dxa" w:w="4680"/>
          </w:tcPr>
          <w:p>
            <w:pPr>
              <w:jc w:val="left"/>
            </w:pPr>
            <w:r/>
            <w:r>
              <w:rPr>
                <w:rFonts w:ascii="宋体" w:hAnsi="宋体" w:eastAsia="宋体"/>
                <w:b w:val="0"/>
                <w:sz w:val="20"/>
              </w:rPr>
              <w:t>架构图交互版（GitHub Pages，内网可访问）</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