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73" w:before="120" w:after="240"/>
        <w:jc w:val="center"/>
        <w:rPr>
          <w:rFonts w:ascii="Arial" w:hAnsi="Arial"/>
        </w:rPr>
      </w:pPr>
      <w:bookmarkStart w:id="0" w:name="_jhplg0l43sqg"/>
      <w:bookmarkEnd w:id="0"/>
      <w:r>
        <w:rPr>
          <w:rFonts w:ascii="Arial" w:hAnsi="Arial"/>
        </w:rPr>
        <w:t>Dylan Austin</w:t>
      </w:r>
    </w:p>
    <w:p>
      <w:pPr>
        <w:pStyle w:val="Normal"/>
        <w:bidi w:val="0"/>
        <w:spacing w:lineRule="auto" w:line="273" w:before="0" w:after="240"/>
        <w:jc w:val="center"/>
        <w:rPr/>
      </w:pPr>
      <w:r>
        <w:rPr>
          <w:rFonts w:ascii="Arial" w:hAnsi="Arial"/>
        </w:rPr>
        <w:t>Senior Content Designer &amp; UX Writer</w:t>
        <w:br/>
      </w:r>
      <w:r>
        <w:rPr>
          <w:rFonts w:eastAsia="Google Sans" w:cs="Google Sans" w:ascii="Arial" w:hAnsi="Arial"/>
          <w:color w:val="1F1F1F"/>
        </w:rPr>
        <w:t xml:space="preserve">Seattle, WA | </w:t>
      </w:r>
      <w:hyperlink r:id="rId2">
        <w:r>
          <w:rPr>
            <w:rStyle w:val="Hyperlink"/>
            <w:rFonts w:ascii="Arial" w:hAnsi="Arial"/>
          </w:rPr>
          <w:t>hi@heydylan.xyz</w:t>
        </w:r>
      </w:hyperlink>
      <w:r>
        <w:rPr>
          <w:rFonts w:eastAsia="Google Sans" w:cs="Google Sans" w:ascii="Arial" w:hAnsi="Arial"/>
          <w:color w:val="1F1F1F"/>
        </w:rPr>
        <w:t xml:space="preserve"> | </w:t>
      </w:r>
      <w:hyperlink r:id="rId3">
        <w:r>
          <w:rPr>
            <w:rStyle w:val="Hyperlink"/>
            <w:rFonts w:ascii="Arial" w:hAnsi="Arial"/>
          </w:rPr>
          <w:t>heydylan.xyz</w:t>
        </w:r>
      </w:hyperlink>
      <w:r>
        <w:rPr>
          <w:rFonts w:eastAsia="Google Sans" w:cs="Google Sans" w:ascii="Arial" w:hAnsi="Arial"/>
          <w:color w:val="1F1F1F"/>
        </w:rPr>
        <w:t xml:space="preserve"> | </w:t>
      </w:r>
      <w:hyperlink r:id="rId4">
        <w:r>
          <w:rPr>
            <w:rStyle w:val="Hyperlink"/>
            <w:rFonts w:ascii="Arial" w:hAnsi="Arial"/>
          </w:rPr>
          <w:t>linkedin.com/in/heydylan</w:t>
        </w:r>
      </w:hyperlink>
    </w:p>
    <w:p>
      <w:pPr>
        <w:pStyle w:val="Heading2"/>
        <w:spacing w:lineRule="auto" w:line="273" w:before="0" w:after="120"/>
        <w:rPr>
          <w:rFonts w:ascii="Arial" w:hAnsi="Arial"/>
        </w:rPr>
      </w:pPr>
      <w:bookmarkStart w:id="1" w:name="_tp9aytwa8b1u"/>
      <w:bookmarkEnd w:id="1"/>
      <w:r>
        <w:rPr>
          <w:rFonts w:ascii="Arial" w:hAnsi="Arial"/>
        </w:rPr>
        <w:t>Professional Summary</w:t>
      </w:r>
    </w:p>
    <w:p>
      <w:pPr>
        <w:pStyle w:val="Normal"/>
        <w:pBdr/>
        <w:bidi w:val="0"/>
        <w:spacing w:lineRule="auto" w:line="273" w:before="0" w:after="240"/>
        <w:jc w:val="start"/>
        <w:rPr>
          <w:rFonts w:ascii="Arial" w:hAnsi="Arial"/>
        </w:rPr>
      </w:pPr>
      <w:r>
        <w:rPr>
          <w:rFonts w:eastAsia="Google Sans" w:cs="Google Sans" w:ascii="Arial" w:hAnsi="Arial"/>
          <w:color w:val="1F1F1F"/>
        </w:rPr>
        <w:t>Senior Content Designer and UX Writer with 10 years of experience leading content strategy, information architecture, and UX writing for digital products. Known for improving usability, accessibility, and conversion through cross-functional collaboration, content systems modernization, and measurable product outcomes such as 4x organic sales growth and 92% conversion improvement.</w:t>
      </w:r>
    </w:p>
    <w:p>
      <w:pPr>
        <w:pStyle w:val="Heading3"/>
        <w:pBdr/>
        <w:spacing w:lineRule="auto" w:line="273" w:before="240" w:after="120"/>
        <w:rPr>
          <w:rFonts w:ascii="Arial" w:hAnsi="Arial"/>
        </w:rPr>
      </w:pPr>
      <w:r>
        <w:rPr>
          <w:rFonts w:eastAsia="Google Sans" w:cs="Google Sans" w:ascii="Arial" w:hAnsi="Arial"/>
          <w:color w:val="1F1F1F"/>
        </w:rPr>
        <w:t>Skills</w:t>
      </w:r>
    </w:p>
    <w:p>
      <w:pPr>
        <w:pStyle w:val="Normal"/>
        <w:numPr>
          <w:ilvl w:val="0"/>
          <w:numId w:val="7"/>
        </w:numPr>
        <w:pBdr/>
        <w:bidi w:val="0"/>
        <w:spacing w:lineRule="auto" w:line="273" w:before="0" w:after="0"/>
        <w:jc w:val="start"/>
        <w:rPr>
          <w:rFonts w:ascii="Arial" w:hAnsi="Arial" w:eastAsia="Google Sans" w:cs="Google Sans"/>
          <w:color w:val="1F1F1F"/>
        </w:rPr>
      </w:pPr>
      <w:r>
        <w:rPr>
          <w:rFonts w:eastAsia="Google Sans" w:cs="Google Sans" w:ascii="Arial" w:hAnsi="Arial"/>
          <w:b/>
          <w:bCs/>
          <w:color w:val="1F1F1F"/>
        </w:rPr>
        <w:t>Content Strategy:</w:t>
      </w:r>
      <w:r>
        <w:rPr>
          <w:rFonts w:eastAsia="Google Sans" w:cs="Google Sans" w:ascii="Arial" w:hAnsi="Arial"/>
          <w:color w:val="1F1F1F"/>
        </w:rPr>
        <w:t xml:space="preserve"> UX Writing, Information Architecture, Conversation Design, Product Taxonomy, Content Auditing, Content Governance, Content Lifecycle Management, Interface Microcopy, Brand Voice Alignment.</w:t>
      </w:r>
    </w:p>
    <w:p>
      <w:pPr>
        <w:pStyle w:val="Normal"/>
        <w:numPr>
          <w:ilvl w:val="0"/>
          <w:numId w:val="7"/>
        </w:numPr>
        <w:pBdr/>
        <w:bidi w:val="0"/>
        <w:spacing w:lineRule="auto" w:line="273" w:before="0" w:after="0"/>
        <w:jc w:val="start"/>
        <w:rPr>
          <w:rFonts w:ascii="Arial" w:hAnsi="Arial" w:eastAsia="Google Sans" w:cs="Google Sans"/>
          <w:color w:val="1F1F1F"/>
        </w:rPr>
      </w:pPr>
      <w:r>
        <w:rPr>
          <w:rFonts w:eastAsia="Google Sans" w:cs="Google Sans" w:ascii="Arial" w:hAnsi="Arial"/>
          <w:b/>
          <w:bCs/>
          <w:color w:val="1F1F1F"/>
        </w:rPr>
        <w:t>UX Design &amp; Systems:</w:t>
      </w:r>
      <w:r>
        <w:rPr>
          <w:rFonts w:eastAsia="Google Sans" w:cs="Google Sans" w:ascii="Arial" w:hAnsi="Arial"/>
          <w:color w:val="1F1F1F"/>
        </w:rPr>
        <w:t xml:space="preserve"> User Journey Mapping, Design Systems, Prototyping, Wireframing, User Research Synthesis, Decision Trees, State-Aware Design, Accessibility Standards (A11Y), Exception Handling Flows.</w:t>
      </w:r>
    </w:p>
    <w:p>
      <w:pPr>
        <w:pStyle w:val="Normal"/>
        <w:numPr>
          <w:ilvl w:val="0"/>
          <w:numId w:val="7"/>
        </w:numPr>
        <w:pBdr/>
        <w:bidi w:val="0"/>
        <w:spacing w:lineRule="auto" w:line="273" w:before="0" w:after="0"/>
        <w:jc w:val="start"/>
        <w:rPr>
          <w:rFonts w:ascii="Arial" w:hAnsi="Arial" w:eastAsia="Google Sans" w:cs="Google Sans"/>
          <w:color w:val="1F1F1F"/>
        </w:rPr>
      </w:pPr>
      <w:r>
        <w:rPr>
          <w:rFonts w:eastAsia="Google Sans" w:cs="Google Sans" w:ascii="Arial" w:hAnsi="Arial"/>
          <w:b/>
          <w:bCs/>
          <w:color w:val="1F1F1F"/>
        </w:rPr>
        <w:t>Tools:</w:t>
      </w:r>
      <w:r>
        <w:rPr>
          <w:rFonts w:eastAsia="Google Sans" w:cs="Google Sans" w:ascii="Arial" w:hAnsi="Arial"/>
          <w:color w:val="1F1F1F"/>
        </w:rPr>
        <w:t xml:space="preserve"> Figma, FigJam, </w:t>
      </w:r>
      <w:r>
        <w:rPr>
          <w:rFonts w:eastAsia="Google Sans" w:cs="Google Sans" w:ascii="Arial" w:hAnsi="Arial"/>
          <w:color w:val="1F1F1F"/>
        </w:rPr>
        <w:t xml:space="preserve">Miro, </w:t>
      </w:r>
      <w:r>
        <w:rPr>
          <w:rFonts w:eastAsia="Google Sans" w:cs="Google Sans" w:ascii="Arial" w:hAnsi="Arial"/>
          <w:color w:val="1F1F1F"/>
        </w:rPr>
        <w:t xml:space="preserve">Headless CMS (Contentful, Hygraph), WordPress, Adobe Suite, AI Workflows </w:t>
      </w:r>
      <w:r>
        <w:rPr>
          <w:rFonts w:eastAsia="Google Sans" w:cs="Google Sans" w:ascii="Arial" w:hAnsi="Arial"/>
          <w:color w:val="1F1F1F"/>
        </w:rPr>
        <w:t>(Claude Code, Figma Make)</w:t>
      </w:r>
      <w:r>
        <w:rPr>
          <w:rFonts w:eastAsia="Google Sans" w:cs="Google Sans" w:ascii="Arial" w:hAnsi="Arial"/>
          <w:color w:val="1F1F1F"/>
        </w:rPr>
        <w:t>, Agile Methodology.</w:t>
      </w:r>
    </w:p>
    <w:p>
      <w:pPr>
        <w:pStyle w:val="Heading3"/>
        <w:pBdr/>
        <w:spacing w:lineRule="auto" w:line="273" w:before="240" w:after="120"/>
        <w:rPr>
          <w:rFonts w:ascii="Arial" w:hAnsi="Arial" w:eastAsia="Google Sans" w:cs="Google Sans"/>
          <w:color w:val="1F1F1F"/>
        </w:rPr>
      </w:pPr>
      <w:r>
        <w:rPr>
          <w:rFonts w:eastAsia="Google Sans" w:cs="Google Sans" w:ascii="Arial" w:hAnsi="Arial"/>
          <w:color w:val="1F1F1F"/>
        </w:rPr>
        <w:t>Experience</w:t>
      </w:r>
    </w:p>
    <w:p>
      <w:pPr>
        <w:pStyle w:val="Normal"/>
        <w:pBdr/>
        <w:bidi w:val="0"/>
        <w:spacing w:lineRule="auto" w:line="273" w:before="0" w:after="120"/>
        <w:jc w:val="start"/>
        <w:rPr/>
      </w:pPr>
      <w:r>
        <w:rPr>
          <w:rFonts w:eastAsia="Google Sans" w:cs="Google Sans" w:ascii="Arial" w:hAnsi="Arial"/>
          <w:b/>
          <w:bCs/>
          <w:i w:val="false"/>
          <w:iCs w:val="false"/>
          <w:color w:val="1F1F1F"/>
        </w:rPr>
        <w:t>UX Design &amp; Content Strategy</w:t>
      </w:r>
      <w:r>
        <w:rPr>
          <w:rFonts w:eastAsia="Google Sans" w:cs="Google Sans" w:ascii="Arial" w:hAnsi="Arial"/>
          <w:b w:val="false"/>
          <w:bCs w:val="false"/>
          <w:i/>
          <w:iCs/>
          <w:color w:val="1F1F1F"/>
        </w:rPr>
        <w:t xml:space="preserve"> | </w:t>
      </w:r>
      <w:r>
        <w:rPr>
          <w:rFonts w:eastAsia="Google Sans" w:cs="Google Sans" w:ascii="Arial" w:hAnsi="Arial"/>
          <w:b w:val="false"/>
          <w:bCs w:val="false"/>
          <w:i w:val="false"/>
          <w:iCs w:val="false"/>
          <w:color w:val="1F1F1F"/>
        </w:rPr>
        <w:t>Free</w:t>
      </w:r>
      <w:r>
        <w:rPr>
          <w:rFonts w:eastAsia="Google Sans" w:cs="Google Sans" w:ascii="Arial" w:hAnsi="Arial"/>
          <w:b w:val="false"/>
          <w:bCs w:val="false"/>
          <w:i w:val="false"/>
          <w:iCs w:val="false"/>
          <w:color w:val="1F1F1F"/>
        </w:rPr>
        <w:t>l</w:t>
      </w:r>
      <w:r>
        <w:rPr>
          <w:rFonts w:eastAsia="Google Sans" w:cs="Google Sans" w:ascii="Arial" w:hAnsi="Arial"/>
          <w:b w:val="false"/>
          <w:bCs w:val="false"/>
          <w:i w:val="false"/>
          <w:iCs w:val="false"/>
          <w:color w:val="1F1F1F"/>
        </w:rPr>
        <w:t>ance</w:t>
      </w:r>
      <w:r>
        <w:rPr>
          <w:rFonts w:eastAsia="Google Sans" w:cs="Google Sans" w:ascii="Arial" w:hAnsi="Arial"/>
          <w:b w:val="false"/>
          <w:bCs w:val="false"/>
          <w:color w:val="1F1F1F"/>
        </w:rPr>
        <w:t xml:space="preserve"> | </w:t>
      </w:r>
      <w:r>
        <w:rPr>
          <w:rFonts w:eastAsia="Google Sans" w:cs="Google Sans" w:ascii="Arial" w:hAnsi="Arial"/>
          <w:b w:val="false"/>
          <w:bCs w:val="false"/>
          <w:i/>
          <w:iCs/>
          <w:color w:val="1F1F1F"/>
        </w:rPr>
        <w:t>Jan</w:t>
      </w:r>
      <w:r>
        <w:rPr>
          <w:rFonts w:eastAsia="Google Sans" w:cs="Google Sans" w:ascii="Arial" w:hAnsi="Arial"/>
          <w:b w:val="false"/>
          <w:bCs w:val="false"/>
          <w:i/>
          <w:iCs/>
          <w:color w:val="1F1F1F"/>
        </w:rPr>
        <w:t xml:space="preserve"> 202</w:t>
      </w:r>
      <w:r>
        <w:rPr>
          <w:rFonts w:eastAsia="Google Sans" w:cs="Google Sans" w:ascii="Arial" w:hAnsi="Arial"/>
          <w:b w:val="false"/>
          <w:bCs w:val="false"/>
          <w:i/>
          <w:iCs/>
          <w:color w:val="1F1F1F"/>
        </w:rPr>
        <w:t>6 – present</w:t>
      </w:r>
    </w:p>
    <w:p>
      <w:pPr>
        <w:pStyle w:val="Normal"/>
        <w:numPr>
          <w:ilvl w:val="0"/>
          <w:numId w:val="8"/>
        </w:numPr>
        <w:pBdr/>
        <w:bidi w:val="0"/>
        <w:spacing w:lineRule="auto" w:line="273" w:before="0" w:after="120"/>
        <w:jc w:val="start"/>
        <w:rPr/>
      </w:pPr>
      <w:r>
        <w:rPr>
          <w:rFonts w:eastAsia="Google Sans" w:cs="Google Sans" w:ascii="Arial" w:hAnsi="Arial"/>
          <w:b w:val="false"/>
          <w:bCs w:val="false"/>
          <w:i w:val="false"/>
          <w:iCs w:val="false"/>
          <w:color w:val="1F1F1F"/>
        </w:rPr>
        <w:t>Led freelance content design and UX writing for digital product workflows, improving information architecture and microcopy to reduce user friction and clarify key actions.</w:t>
      </w:r>
    </w:p>
    <w:p>
      <w:pPr>
        <w:pStyle w:val="Normal"/>
        <w:pBdr/>
        <w:bidi w:val="0"/>
        <w:spacing w:lineRule="auto" w:line="273" w:before="0" w:after="120"/>
        <w:jc w:val="start"/>
        <w:rPr>
          <w:rFonts w:ascii="Arial" w:hAnsi="Arial"/>
        </w:rPr>
      </w:pPr>
      <w:r>
        <w:rPr>
          <w:rFonts w:eastAsia="Google Sans" w:cs="Google Sans" w:ascii="Arial" w:hAnsi="Arial"/>
          <w:b/>
          <w:bCs/>
          <w:i w:val="false"/>
          <w:iCs w:val="false"/>
          <w:color w:val="1F1F1F"/>
        </w:rPr>
        <w:t>Content Designer / UX Design</w:t>
      </w:r>
      <w:r>
        <w:rPr>
          <w:rFonts w:eastAsia="Google Sans" w:cs="Google Sans" w:ascii="Arial" w:hAnsi="Arial"/>
          <w:b/>
          <w:bCs/>
          <w:i w:val="false"/>
          <w:iCs w:val="false"/>
          <w:color w:val="1F1F1F"/>
        </w:rPr>
        <w:t>er</w:t>
      </w:r>
      <w:r>
        <w:rPr>
          <w:rFonts w:eastAsia="Google Sans" w:cs="Google Sans" w:ascii="Arial" w:hAnsi="Arial"/>
          <w:b w:val="false"/>
          <w:bCs w:val="false"/>
          <w:i/>
          <w:iCs/>
          <w:color w:val="1F1F1F"/>
        </w:rPr>
        <w:t xml:space="preserve"> | </w:t>
      </w:r>
      <w:r>
        <w:rPr>
          <w:rFonts w:eastAsia="Google Sans" w:cs="Google Sans" w:ascii="Arial" w:hAnsi="Arial"/>
          <w:b w:val="false"/>
          <w:bCs w:val="false"/>
          <w:color w:val="1F1F1F"/>
        </w:rPr>
        <w:t xml:space="preserve">Know Your Pet DNA by Ancestry | </w:t>
      </w:r>
      <w:r>
        <w:rPr>
          <w:rFonts w:eastAsia="Google Sans" w:cs="Google Sans" w:ascii="Arial" w:hAnsi="Arial"/>
          <w:b w:val="false"/>
          <w:bCs w:val="false"/>
          <w:i/>
          <w:iCs/>
          <w:color w:val="1F1F1F"/>
        </w:rPr>
        <w:t>Mar 2025 - Jan 2026</w:t>
      </w:r>
    </w:p>
    <w:p>
      <w:pPr>
        <w:pStyle w:val="Normal"/>
        <w:numPr>
          <w:ilvl w:val="0"/>
          <w:numId w:val="6"/>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Simplified a fragmented multi-user experience by redesigning account settings and a role-based permissions model.</w:t>
      </w:r>
    </w:p>
    <w:p>
      <w:pPr>
        <w:pStyle w:val="Normal"/>
        <w:numPr>
          <w:ilvl w:val="0"/>
          <w:numId w:val="6"/>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Reduced content complexity through a system-wide audit, taxonomy redesign, and information architecture overhaul across account settings,</w:t>
      </w:r>
      <w:r>
        <w:rPr>
          <w:rFonts w:eastAsia="Google Sans" w:cs="Google Sans" w:ascii="Arial" w:hAnsi="Arial"/>
          <w:color w:val="1F1F1F"/>
        </w:rPr>
        <w:t xml:space="preserve"> </w:t>
      </w:r>
      <w:r>
        <w:rPr>
          <w:rFonts w:eastAsia="Google Sans" w:cs="Google Sans" w:ascii="Arial" w:hAnsi="Arial"/>
          <w:color w:val="1F1F1F"/>
        </w:rPr>
        <w:t>DNA traits results pages</w:t>
      </w:r>
      <w:r>
        <w:rPr>
          <w:rFonts w:eastAsia="Google Sans" w:cs="Google Sans" w:ascii="Arial" w:hAnsi="Arial"/>
          <w:color w:val="1F1F1F"/>
        </w:rPr>
        <w:t>.</w:t>
      </w:r>
    </w:p>
    <w:p>
      <w:pPr>
        <w:pStyle w:val="Normal"/>
        <w:numPr>
          <w:ilvl w:val="0"/>
          <w:numId w:val="6"/>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Improved accessibility and interaction consistency across core consumer interfaces by removing design and content friction, resulting in a more usable account and dashboard experience.</w:t>
      </w:r>
    </w:p>
    <w:p>
      <w:pPr>
        <w:pStyle w:val="Normal"/>
        <w:numPr>
          <w:ilvl w:val="0"/>
          <w:numId w:val="6"/>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Supported a cross-enterprise migration to Hygraph, preserving content continuity and data integrity during the platform transition for product and editorial content.</w:t>
      </w:r>
    </w:p>
    <w:p>
      <w:pPr>
        <w:pStyle w:val="Normal"/>
        <w:numPr>
          <w:ilvl w:val="0"/>
          <w:numId w:val="6"/>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Standardized brand voice and microcopy, creating a more consistent product narrative and reducing inconsistency across user-facing surfaces.</w:t>
      </w:r>
    </w:p>
    <w:p>
      <w:pPr>
        <w:pStyle w:val="Normal"/>
        <w:pBdr/>
        <w:bidi w:val="0"/>
        <w:spacing w:lineRule="auto" w:line="273" w:before="240" w:after="120"/>
        <w:jc w:val="start"/>
        <w:rPr>
          <w:rFonts w:ascii="Arial" w:hAnsi="Arial"/>
          <w:i w:val="false"/>
          <w:i w:val="false"/>
          <w:iCs w:val="false"/>
        </w:rPr>
      </w:pPr>
      <w:r>
        <w:rPr>
          <w:rFonts w:eastAsia="Google Sans" w:cs="Google Sans" w:ascii="Arial" w:hAnsi="Arial"/>
          <w:b/>
          <w:bCs/>
          <w:i w:val="false"/>
          <w:iCs w:val="false"/>
          <w:color w:val="1F1F1F"/>
        </w:rPr>
        <w:t>Content Strategy Manager</w:t>
      </w:r>
      <w:r>
        <w:rPr>
          <w:rFonts w:eastAsia="Google Sans" w:cs="Google Sans" w:ascii="Arial" w:hAnsi="Arial"/>
          <w:b w:val="false"/>
          <w:bCs w:val="false"/>
          <w:i w:val="false"/>
          <w:iCs w:val="false"/>
          <w:color w:val="1F1F1F"/>
        </w:rPr>
        <w:t xml:space="preserve"> | Independence Pet Group | </w:t>
      </w:r>
      <w:r>
        <w:rPr>
          <w:rFonts w:eastAsia="Google Sans" w:cs="Google Sans" w:ascii="Arial" w:hAnsi="Arial"/>
          <w:b w:val="false"/>
          <w:bCs w:val="false"/>
          <w:i/>
          <w:iCs/>
          <w:color w:val="1F1F1F"/>
        </w:rPr>
        <w:t>Jun 2023 - Apr 2025</w:t>
      </w:r>
    </w:p>
    <w:p>
      <w:pPr>
        <w:pStyle w:val="Normal"/>
        <w:numPr>
          <w:ilvl w:val="0"/>
          <w:numId w:val="5"/>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Captured 80% of total organic traffic and improved conversion rates by 92% YoY by managing a scaled end-to-end product content ecosystem.</w:t>
      </w:r>
    </w:p>
    <w:p>
      <w:pPr>
        <w:pStyle w:val="Normal"/>
        <w:numPr>
          <w:ilvl w:val="0"/>
          <w:numId w:val="5"/>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Drove 4x growth in organic sales within 6 months by partnering on UX/UI optimizations that converted high-intent traffic into revenue.</w:t>
      </w:r>
    </w:p>
    <w:p>
      <w:pPr>
        <w:pStyle w:val="Normal"/>
        <w:numPr>
          <w:ilvl w:val="0"/>
          <w:numId w:val="5"/>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Earned #1 and #2 rankings for competitive high-intent keywords for ASPCA Pet Health Insurance.</w:t>
      </w:r>
    </w:p>
    <w:p>
      <w:pPr>
        <w:pStyle w:val="Normal"/>
        <w:numPr>
          <w:ilvl w:val="0"/>
          <w:numId w:val="5"/>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Increased conversational search visibility by optimizing information architecture and content strategy for AI overviews across multiple pet insurance brands.</w:t>
      </w:r>
    </w:p>
    <w:p>
      <w:pPr>
        <w:pStyle w:val="Normal"/>
        <w:numPr>
          <w:ilvl w:val="0"/>
          <w:numId w:val="5"/>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 xml:space="preserve">Modernized site architecture and delivery workflows by aligning design, development, and product content teams </w:t>
      </w:r>
      <w:r>
        <w:rPr>
          <w:rFonts w:eastAsia="Google Sans" w:cs="Google Sans" w:ascii="Arial" w:hAnsi="Arial"/>
          <w:color w:val="1F1F1F"/>
        </w:rPr>
        <w:t>in</w:t>
      </w:r>
      <w:r>
        <w:rPr>
          <w:rFonts w:eastAsia="Google Sans" w:cs="Google Sans" w:ascii="Arial" w:hAnsi="Arial"/>
          <w:color w:val="1F1F1F"/>
        </w:rPr>
        <w:t xml:space="preserve"> a shared services model, </w:t>
      </w:r>
      <w:r>
        <w:rPr>
          <w:rFonts w:eastAsia="Google Sans" w:cs="Google Sans" w:ascii="Arial" w:hAnsi="Arial"/>
          <w:color w:val="1F1F1F"/>
        </w:rPr>
        <w:t>improving quote conversions</w:t>
      </w:r>
      <w:r>
        <w:rPr>
          <w:rFonts w:eastAsia="Google Sans" w:cs="Google Sans" w:ascii="Arial" w:hAnsi="Arial"/>
          <w:color w:val="1F1F1F"/>
        </w:rPr>
        <w:t>.</w:t>
      </w:r>
    </w:p>
    <w:p>
      <w:pPr>
        <w:pStyle w:val="Normal"/>
        <w:bidi w:val="0"/>
        <w:spacing w:lineRule="auto" w:line="273" w:before="240" w:after="120"/>
        <w:jc w:val="start"/>
        <w:rPr>
          <w:rFonts w:ascii="Arial" w:hAnsi="Arial"/>
        </w:rPr>
      </w:pPr>
      <w:r>
        <w:rPr>
          <w:rFonts w:eastAsia="Google Sans" w:cs="Google Sans" w:ascii="Arial" w:hAnsi="Arial"/>
          <w:b/>
          <w:bCs/>
          <w:i w:val="false"/>
          <w:iCs w:val="false"/>
          <w:color w:val="1F1F1F"/>
        </w:rPr>
        <w:t>Digital Copywriter</w:t>
      </w:r>
      <w:r>
        <w:rPr>
          <w:rFonts w:eastAsia="Google Sans" w:cs="Google Sans" w:ascii="Arial" w:hAnsi="Arial"/>
          <w:b w:val="false"/>
          <w:bCs w:val="false"/>
          <w:i w:val="false"/>
          <w:iCs w:val="false"/>
          <w:color w:val="1F1F1F"/>
        </w:rPr>
        <w:t xml:space="preserve"> | Ollie | </w:t>
      </w:r>
      <w:r>
        <w:rPr>
          <w:rFonts w:eastAsia="Google Sans" w:cs="Google Sans" w:ascii="Arial" w:hAnsi="Arial"/>
          <w:b w:val="false"/>
          <w:bCs w:val="false"/>
          <w:i/>
          <w:iCs/>
          <w:color w:val="1F1F1F"/>
        </w:rPr>
        <w:t>Feb 2023 - Jun 2023</w:t>
      </w:r>
    </w:p>
    <w:p>
      <w:pPr>
        <w:pStyle w:val="Normal"/>
        <w:numPr>
          <w:ilvl w:val="0"/>
          <w:numId w:val="4"/>
        </w:numPr>
        <w:pBdr/>
        <w:bidi w:val="0"/>
        <w:spacing w:lineRule="auto" w:line="273" w:before="0" w:after="0"/>
        <w:jc w:val="start"/>
        <w:rPr>
          <w:rFonts w:ascii="Arial" w:hAnsi="Arial" w:eastAsia="Google Sans" w:cs="Google Sans"/>
          <w:color w:val="1F1F1F"/>
        </w:rPr>
      </w:pPr>
      <w:r>
        <w:rPr>
          <w:rFonts w:eastAsia="Google Sans" w:cs="Google Sans" w:ascii="Arial" w:hAnsi="Arial"/>
          <w:i w:val="false"/>
          <w:iCs w:val="false"/>
          <w:color w:val="1F1F1F"/>
        </w:rPr>
        <w:t>Improved landing page and homepage performance by supporting A/B testing and conversion-focused copy iterations.</w:t>
      </w:r>
    </w:p>
    <w:p>
      <w:pPr>
        <w:pStyle w:val="Normal"/>
        <w:numPr>
          <w:ilvl w:val="0"/>
          <w:numId w:val="4"/>
        </w:numPr>
        <w:pBdr/>
        <w:bidi w:val="0"/>
        <w:spacing w:lineRule="auto" w:line="273" w:before="0" w:after="0"/>
        <w:jc w:val="start"/>
        <w:rPr>
          <w:rFonts w:ascii="Arial" w:hAnsi="Arial" w:eastAsia="Google Sans" w:cs="Google Sans"/>
          <w:color w:val="1F1F1F"/>
        </w:rPr>
      </w:pPr>
      <w:r>
        <w:rPr>
          <w:rFonts w:eastAsia="Google Sans" w:cs="Google Sans" w:ascii="Arial" w:hAnsi="Arial"/>
          <w:i w:val="false"/>
          <w:iCs w:val="false"/>
          <w:color w:val="1F1F1F"/>
        </w:rPr>
        <w:t>Wrote interface copy, lifecycle email content, and paid search creatives to support acquisition and engagement goals across product and marketing channels.</w:t>
      </w:r>
    </w:p>
    <w:p>
      <w:pPr>
        <w:pStyle w:val="Normal"/>
        <w:pBdr/>
        <w:bidi w:val="0"/>
        <w:spacing w:lineRule="auto" w:line="273" w:before="240" w:after="120"/>
        <w:jc w:val="start"/>
        <w:rPr>
          <w:rFonts w:ascii="Arial" w:hAnsi="Arial"/>
          <w:b w:val="false"/>
          <w:bCs w:val="false"/>
          <w:i w:val="false"/>
          <w:i w:val="false"/>
          <w:iCs w:val="false"/>
        </w:rPr>
      </w:pPr>
      <w:r>
        <w:rPr>
          <w:rFonts w:eastAsia="Google Sans" w:cs="Google Sans" w:ascii="Arial" w:hAnsi="Arial"/>
          <w:b/>
          <w:bCs/>
          <w:i w:val="false"/>
          <w:iCs w:val="false"/>
          <w:color w:val="1F1F1F"/>
        </w:rPr>
        <w:t>Editorial Content Writer</w:t>
      </w:r>
      <w:r>
        <w:rPr>
          <w:rFonts w:eastAsia="Google Sans" w:cs="Google Sans" w:ascii="Arial" w:hAnsi="Arial"/>
          <w:b w:val="false"/>
          <w:bCs w:val="false"/>
          <w:i w:val="false"/>
          <w:iCs w:val="false"/>
          <w:color w:val="1F1F1F"/>
        </w:rPr>
        <w:t xml:space="preserve"> | Pinterest | </w:t>
      </w:r>
      <w:r>
        <w:rPr>
          <w:rFonts w:eastAsia="Google Sans" w:cs="Google Sans" w:ascii="Arial" w:hAnsi="Arial"/>
          <w:b w:val="false"/>
          <w:bCs w:val="false"/>
          <w:i/>
          <w:iCs/>
          <w:color w:val="1F1F1F"/>
        </w:rPr>
        <w:t>Jun 2022 - Feb 2023</w:t>
      </w:r>
    </w:p>
    <w:p>
      <w:pPr>
        <w:pStyle w:val="Normal"/>
        <w:numPr>
          <w:ilvl w:val="0"/>
          <w:numId w:val="3"/>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Managed content strategy, curation scheduling, and interface copy for Today’s Inspiration and Shopping Spotlight surfaces, delivering approximately 1,500 editorial assets across discovery experiences.</w:t>
      </w:r>
    </w:p>
    <w:p>
      <w:pPr>
        <w:pStyle w:val="Normal"/>
        <w:numPr>
          <w:ilvl w:val="0"/>
          <w:numId w:val="3"/>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Drafted microcopy for product discovery pages, retention emails, and partner feature surfaces to improve clarity across the experience.</w:t>
      </w:r>
    </w:p>
    <w:p>
      <w:pPr>
        <w:pStyle w:val="Heading3"/>
        <w:pBdr/>
        <w:spacing w:lineRule="auto" w:line="273" w:before="240" w:after="120"/>
        <w:rPr>
          <w:rFonts w:ascii="Arial" w:hAnsi="Arial" w:eastAsia="Google Sans" w:cs="Google Sans"/>
          <w:color w:val="1F1F1F"/>
        </w:rPr>
      </w:pPr>
      <w:r>
        <w:rPr>
          <w:rFonts w:eastAsia="Google Sans" w:cs="Google Sans" w:ascii="Arial" w:hAnsi="Arial"/>
          <w:color w:val="1F1F1F"/>
        </w:rPr>
        <w:t>Certifications</w:t>
      </w:r>
    </w:p>
    <w:p>
      <w:pPr>
        <w:pStyle w:val="Normal"/>
        <w:numPr>
          <w:ilvl w:val="0"/>
          <w:numId w:val="2"/>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W3Schools Certified Accessibility Practitioner (Specialized in digital inclusion and A11Y compliance standards).</w:t>
      </w:r>
    </w:p>
    <w:p>
      <w:pPr>
        <w:pStyle w:val="Normal"/>
        <w:numPr>
          <w:ilvl w:val="0"/>
          <w:numId w:val="2"/>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Google UX Design Professional Certificate (End-to-end user-centered design, wireframing, and low/high-fidelity prototyping).</w:t>
      </w:r>
    </w:p>
    <w:p>
      <w:pPr>
        <w:pStyle w:val="Normal"/>
        <w:numPr>
          <w:ilvl w:val="0"/>
          <w:numId w:val="2"/>
        </w:numPr>
        <w:pBdr/>
        <w:bidi w:val="0"/>
        <w:spacing w:lineRule="auto" w:line="273" w:before="0" w:after="0"/>
        <w:jc w:val="start"/>
        <w:rPr>
          <w:rFonts w:ascii="Arial" w:hAnsi="Arial" w:eastAsia="Google Sans" w:cs="Google Sans"/>
          <w:color w:val="1F1F1F"/>
        </w:rPr>
      </w:pPr>
      <w:r>
        <w:rPr>
          <w:rFonts w:eastAsia="Google Sans" w:cs="Google Sans" w:ascii="Arial" w:hAnsi="Arial"/>
          <w:color w:val="1F1F1F"/>
        </w:rPr>
        <w:t>HubSpot Academy: SEO I, SEO II, Content Marketing, and Inbound Marketing.</w:t>
      </w:r>
    </w:p>
    <w:p>
      <w:pPr>
        <w:pStyle w:val="Heading3"/>
        <w:pBdr/>
        <w:spacing w:lineRule="auto" w:line="273" w:before="240" w:after="120"/>
        <w:rPr>
          <w:rFonts w:ascii="Arial" w:hAnsi="Arial" w:eastAsia="Google Sans" w:cs="Google Sans"/>
          <w:color w:val="1F1F1F"/>
        </w:rPr>
      </w:pPr>
      <w:r>
        <w:rPr>
          <w:rFonts w:eastAsia="Google Sans" w:cs="Google Sans" w:ascii="Arial" w:hAnsi="Arial"/>
          <w:color w:val="1F1F1F"/>
        </w:rPr>
        <w:t>Selected Product Case Studies</w:t>
      </w:r>
    </w:p>
    <w:p>
      <w:pPr>
        <w:pStyle w:val="Normal"/>
        <w:pBdr/>
        <w:bidi w:val="0"/>
        <w:spacing w:lineRule="auto" w:line="273" w:before="0" w:after="0"/>
        <w:jc w:val="start"/>
        <w:rPr>
          <w:rFonts w:ascii="Arial" w:hAnsi="Arial" w:eastAsia="Google Sans" w:cs="Google Sans"/>
          <w:i/>
          <w:i/>
          <w:iCs/>
          <w:color w:val="1F1F1F"/>
        </w:rPr>
      </w:pPr>
      <w:r>
        <w:rPr>
          <w:rFonts w:eastAsia="Google Sans" w:cs="Google Sans" w:ascii="Arial" w:hAnsi="Arial"/>
          <w:i/>
          <w:iCs/>
          <w:color w:val="1F1F1F"/>
        </w:rPr>
        <w:t xml:space="preserve">(Full design documentation and interactive prototypes available at </w:t>
      </w:r>
      <w:hyperlink r:id="rId5">
        <w:r>
          <w:rPr>
            <w:rStyle w:val="Hyperlink"/>
            <w:rFonts w:eastAsia="Google Sans" w:cs="Google Sans" w:ascii="Arial" w:hAnsi="Arial"/>
            <w:i/>
            <w:iCs/>
            <w:color w:val="1F1F1F"/>
          </w:rPr>
          <w:t>heydylan.xy</w:t>
        </w:r>
        <w:r>
          <w:rPr>
            <w:rStyle w:val="Hyperlink"/>
            <w:rFonts w:eastAsia="Google Sans" w:cs="Google Sans" w:ascii="Arial" w:hAnsi="Arial"/>
            <w:i/>
            <w:iCs/>
            <w:color w:val="1F1F1F"/>
          </w:rPr>
          <w:t>z</w:t>
        </w:r>
      </w:hyperlink>
      <w:r>
        <w:rPr>
          <w:rFonts w:eastAsia="Google Sans" w:cs="Google Sans" w:ascii="Arial" w:hAnsi="Arial"/>
          <w:i/>
          <w:iCs/>
          <w:color w:val="1F1F1F"/>
        </w:rPr>
        <w:t>.)</w:t>
      </w:r>
    </w:p>
    <w:p>
      <w:pPr>
        <w:pStyle w:val="Normal"/>
        <w:numPr>
          <w:ilvl w:val="0"/>
          <w:numId w:val="9"/>
        </w:numPr>
        <w:pBdr/>
        <w:bidi w:val="0"/>
        <w:spacing w:lineRule="auto" w:line="273" w:before="0" w:after="0"/>
        <w:jc w:val="start"/>
        <w:rPr>
          <w:rFonts w:ascii="Arial" w:hAnsi="Arial" w:eastAsia="Google Sans" w:cs="Google Sans"/>
          <w:i w:val="false"/>
          <w:i w:val="false"/>
          <w:iCs w:val="false"/>
          <w:color w:val="1F1F1F"/>
        </w:rPr>
      </w:pPr>
      <w:hyperlink r:id="rId6">
        <w:r>
          <w:rPr>
            <w:rStyle w:val="Hyperlink"/>
            <w:rFonts w:eastAsia="Google Sans" w:cs="Google Sans" w:ascii="Arial" w:hAnsi="Arial"/>
            <w:i w:val="false"/>
            <w:iCs w:val="false"/>
            <w:color w:val="1F1F1F"/>
          </w:rPr>
          <w:t xml:space="preserve">Ancestry Roles &amp; Permissions </w:t>
        </w:r>
        <w:r>
          <w:rPr>
            <w:rStyle w:val="Hyperlink"/>
            <w:rFonts w:eastAsia="Google Sans" w:cs="Google Sans" w:ascii="Arial" w:hAnsi="Arial"/>
            <w:i w:val="false"/>
            <w:iCs w:val="false"/>
            <w:color w:val="1F1F1F"/>
          </w:rPr>
          <w:t>Feature</w:t>
        </w:r>
      </w:hyperlink>
      <w:r>
        <w:rPr>
          <w:rFonts w:eastAsia="Google Sans" w:cs="Google Sans" w:ascii="Arial" w:hAnsi="Arial"/>
          <w:i w:val="false"/>
          <w:iCs w:val="false"/>
          <w:color w:val="1F1F1F"/>
        </w:rPr>
        <w:t>: Engineered a scalable multi-user access sharing model. Translated complex backend privacy parameters into clear, intuitive invitation flows, explicit role-definition matrices, and context-aware error state</w:t>
      </w:r>
      <w:r>
        <w:rPr>
          <w:rFonts w:eastAsia="Google Sans" w:cs="Google Sans" w:ascii="Arial" w:hAnsi="Arial"/>
          <w:i w:val="false"/>
          <w:iCs w:val="false"/>
          <w:color w:val="1F1F1F"/>
        </w:rPr>
        <w:t>s</w:t>
      </w:r>
      <w:r>
        <w:rPr>
          <w:rFonts w:eastAsia="Google Sans" w:cs="Google Sans" w:ascii="Arial" w:hAnsi="Arial"/>
          <w:i w:val="false"/>
          <w:iCs w:val="false"/>
          <w:color w:val="1F1F1F"/>
        </w:rPr>
        <w:t>.</w:t>
      </w:r>
    </w:p>
    <w:p>
      <w:pPr>
        <w:pStyle w:val="Normal"/>
        <w:numPr>
          <w:ilvl w:val="0"/>
          <w:numId w:val="9"/>
        </w:numPr>
        <w:pBdr/>
        <w:bidi w:val="0"/>
        <w:spacing w:lineRule="auto" w:line="273" w:before="0" w:after="0"/>
        <w:jc w:val="start"/>
        <w:rPr>
          <w:rFonts w:ascii="Arial" w:hAnsi="Arial" w:eastAsia="Google Sans" w:cs="Google Sans"/>
          <w:i w:val="false"/>
          <w:i w:val="false"/>
          <w:iCs w:val="false"/>
          <w:color w:val="1F1F1F"/>
        </w:rPr>
      </w:pPr>
      <w:hyperlink r:id="rId7">
        <w:r>
          <w:rPr>
            <w:rStyle w:val="Hyperlink"/>
            <w:rFonts w:eastAsia="Google Sans" w:cs="Google Sans" w:ascii="Arial" w:hAnsi="Arial"/>
            <w:i w:val="false"/>
            <w:iCs w:val="false"/>
            <w:color w:val="1F1F1F"/>
          </w:rPr>
          <w:t>Veterinary Intake &amp; Service Architecture</w:t>
        </w:r>
      </w:hyperlink>
      <w:r>
        <w:rPr>
          <w:rFonts w:eastAsia="Google Sans" w:cs="Google Sans" w:ascii="Arial" w:hAnsi="Arial"/>
          <w:i w:val="false"/>
          <w:iCs w:val="false"/>
          <w:color w:val="1F1F1F"/>
        </w:rPr>
        <w:t>: Built a 5-category state-aware conversational intake prototype. Authored trauma-informed microcopy and structured conditional branching logic featuring clinical safety routing and fallback valves.</w:t>
      </w:r>
    </w:p>
    <w:sectPr>
      <w:type w:val="nextPage"/>
      <w:pgSz w:w="12240" w:h="15840"/>
      <w:pgMar w:left="1134" w:right="1134" w:gutter="0" w:header="0" w:top="1134" w:footer="0" w:bottom="1134"/>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825"/>
        </w:tabs>
        <w:ind w:start="825" w:hanging="360"/>
      </w:pPr>
      <w:rPr>
        <w:rFonts w:ascii="Symbol" w:hAnsi="Symbol" w:cs="Symbol" w:hint="default"/>
      </w:rPr>
    </w:lvl>
    <w:lvl w:ilvl="1">
      <w:start w:val="1"/>
      <w:numFmt w:val="bullet"/>
      <w:lvlText w:val="◦"/>
      <w:lvlJc w:val="start"/>
      <w:pPr>
        <w:tabs>
          <w:tab w:val="num" w:pos="1185"/>
        </w:tabs>
        <w:ind w:start="1185" w:hanging="360"/>
      </w:pPr>
      <w:rPr>
        <w:rFonts w:ascii="OpenSymbol" w:hAnsi="OpenSymbol" w:cs="OpenSymbol" w:hint="default"/>
      </w:rPr>
    </w:lvl>
    <w:lvl w:ilvl="2">
      <w:start w:val="1"/>
      <w:numFmt w:val="bullet"/>
      <w:lvlText w:val="▪"/>
      <w:lvlJc w:val="start"/>
      <w:pPr>
        <w:tabs>
          <w:tab w:val="num" w:pos="1545"/>
        </w:tabs>
        <w:ind w:start="1545" w:hanging="360"/>
      </w:pPr>
      <w:rPr>
        <w:rFonts w:ascii="OpenSymbol" w:hAnsi="OpenSymbol" w:cs="OpenSymbol" w:hint="default"/>
      </w:rPr>
    </w:lvl>
    <w:lvl w:ilvl="3">
      <w:start w:val="1"/>
      <w:numFmt w:val="bullet"/>
      <w:lvlText w:val=""/>
      <w:lvlJc w:val="start"/>
      <w:pPr>
        <w:tabs>
          <w:tab w:val="num" w:pos="1905"/>
        </w:tabs>
        <w:ind w:start="1905" w:hanging="360"/>
      </w:pPr>
      <w:rPr>
        <w:rFonts w:ascii="Symbol" w:hAnsi="Symbol" w:cs="Symbol" w:hint="default"/>
      </w:rPr>
    </w:lvl>
    <w:lvl w:ilvl="4">
      <w:start w:val="1"/>
      <w:numFmt w:val="bullet"/>
      <w:lvlText w:val="◦"/>
      <w:lvlJc w:val="start"/>
      <w:pPr>
        <w:tabs>
          <w:tab w:val="num" w:pos="2265"/>
        </w:tabs>
        <w:ind w:start="2265" w:hanging="360"/>
      </w:pPr>
      <w:rPr>
        <w:rFonts w:ascii="OpenSymbol" w:hAnsi="OpenSymbol" w:cs="OpenSymbol" w:hint="default"/>
      </w:rPr>
    </w:lvl>
    <w:lvl w:ilvl="5">
      <w:start w:val="1"/>
      <w:numFmt w:val="bullet"/>
      <w:lvlText w:val="▪"/>
      <w:lvlJc w:val="start"/>
      <w:pPr>
        <w:tabs>
          <w:tab w:val="num" w:pos="2625"/>
        </w:tabs>
        <w:ind w:start="2625" w:hanging="360"/>
      </w:pPr>
      <w:rPr>
        <w:rFonts w:ascii="OpenSymbol" w:hAnsi="OpenSymbol" w:cs="OpenSymbol" w:hint="default"/>
      </w:rPr>
    </w:lvl>
    <w:lvl w:ilvl="6">
      <w:start w:val="1"/>
      <w:numFmt w:val="bullet"/>
      <w:lvlText w:val=""/>
      <w:lvlJc w:val="start"/>
      <w:pPr>
        <w:tabs>
          <w:tab w:val="num" w:pos="2985"/>
        </w:tabs>
        <w:ind w:start="2985" w:hanging="360"/>
      </w:pPr>
      <w:rPr>
        <w:rFonts w:ascii="Symbol" w:hAnsi="Symbol" w:cs="Symbol" w:hint="default"/>
      </w:rPr>
    </w:lvl>
    <w:lvl w:ilvl="7">
      <w:start w:val="1"/>
      <w:numFmt w:val="bullet"/>
      <w:lvlText w:val="◦"/>
      <w:lvlJc w:val="start"/>
      <w:pPr>
        <w:tabs>
          <w:tab w:val="num" w:pos="3345"/>
        </w:tabs>
        <w:ind w:start="3345" w:hanging="360"/>
      </w:pPr>
      <w:rPr>
        <w:rFonts w:ascii="OpenSymbol" w:hAnsi="OpenSymbol" w:cs="OpenSymbol" w:hint="default"/>
      </w:rPr>
    </w:lvl>
    <w:lvl w:ilvl="8">
      <w:start w:val="1"/>
      <w:numFmt w:val="bullet"/>
      <w:lvlText w:val="▪"/>
      <w:lvlJc w:val="start"/>
      <w:pPr>
        <w:tabs>
          <w:tab w:val="num" w:pos="3705"/>
        </w:tabs>
        <w:ind w:start="3705" w:hanging="360"/>
      </w:pPr>
      <w:rPr>
        <w:rFonts w:ascii="OpenSymbol" w:hAnsi="OpenSymbol" w:cs="OpenSymbol" w:hint="default"/>
      </w:rPr>
    </w:lvl>
  </w:abstractNum>
  <w:abstractNum w:abstractNumId="3">
    <w:lvl w:ilvl="0">
      <w:start w:val="1"/>
      <w:numFmt w:val="bullet"/>
      <w:lvlText w:val=""/>
      <w:lvlJc w:val="start"/>
      <w:pPr>
        <w:tabs>
          <w:tab w:val="num" w:pos="825"/>
        </w:tabs>
        <w:ind w:start="825" w:hanging="360"/>
      </w:pPr>
      <w:rPr>
        <w:rFonts w:ascii="Symbol" w:hAnsi="Symbol" w:cs="Symbol" w:hint="default"/>
      </w:rPr>
    </w:lvl>
    <w:lvl w:ilvl="1">
      <w:start w:val="1"/>
      <w:numFmt w:val="bullet"/>
      <w:lvlText w:val="◦"/>
      <w:lvlJc w:val="start"/>
      <w:pPr>
        <w:tabs>
          <w:tab w:val="num" w:pos="1185"/>
        </w:tabs>
        <w:ind w:start="1185" w:hanging="360"/>
      </w:pPr>
      <w:rPr>
        <w:rFonts w:ascii="OpenSymbol" w:hAnsi="OpenSymbol" w:cs="OpenSymbol" w:hint="default"/>
      </w:rPr>
    </w:lvl>
    <w:lvl w:ilvl="2">
      <w:start w:val="1"/>
      <w:numFmt w:val="bullet"/>
      <w:lvlText w:val="▪"/>
      <w:lvlJc w:val="start"/>
      <w:pPr>
        <w:tabs>
          <w:tab w:val="num" w:pos="1545"/>
        </w:tabs>
        <w:ind w:start="1545" w:hanging="360"/>
      </w:pPr>
      <w:rPr>
        <w:rFonts w:ascii="OpenSymbol" w:hAnsi="OpenSymbol" w:cs="OpenSymbol" w:hint="default"/>
      </w:rPr>
    </w:lvl>
    <w:lvl w:ilvl="3">
      <w:start w:val="1"/>
      <w:numFmt w:val="bullet"/>
      <w:lvlText w:val=""/>
      <w:lvlJc w:val="start"/>
      <w:pPr>
        <w:tabs>
          <w:tab w:val="num" w:pos="1905"/>
        </w:tabs>
        <w:ind w:start="1905" w:hanging="360"/>
      </w:pPr>
      <w:rPr>
        <w:rFonts w:ascii="Symbol" w:hAnsi="Symbol" w:cs="Symbol" w:hint="default"/>
      </w:rPr>
    </w:lvl>
    <w:lvl w:ilvl="4">
      <w:start w:val="1"/>
      <w:numFmt w:val="bullet"/>
      <w:lvlText w:val="◦"/>
      <w:lvlJc w:val="start"/>
      <w:pPr>
        <w:tabs>
          <w:tab w:val="num" w:pos="2265"/>
        </w:tabs>
        <w:ind w:start="2265" w:hanging="360"/>
      </w:pPr>
      <w:rPr>
        <w:rFonts w:ascii="OpenSymbol" w:hAnsi="OpenSymbol" w:cs="OpenSymbol" w:hint="default"/>
      </w:rPr>
    </w:lvl>
    <w:lvl w:ilvl="5">
      <w:start w:val="1"/>
      <w:numFmt w:val="bullet"/>
      <w:lvlText w:val="▪"/>
      <w:lvlJc w:val="start"/>
      <w:pPr>
        <w:tabs>
          <w:tab w:val="num" w:pos="2625"/>
        </w:tabs>
        <w:ind w:start="2625" w:hanging="360"/>
      </w:pPr>
      <w:rPr>
        <w:rFonts w:ascii="OpenSymbol" w:hAnsi="OpenSymbol" w:cs="OpenSymbol" w:hint="default"/>
      </w:rPr>
    </w:lvl>
    <w:lvl w:ilvl="6">
      <w:start w:val="1"/>
      <w:numFmt w:val="bullet"/>
      <w:lvlText w:val=""/>
      <w:lvlJc w:val="start"/>
      <w:pPr>
        <w:tabs>
          <w:tab w:val="num" w:pos="2985"/>
        </w:tabs>
        <w:ind w:start="2985" w:hanging="360"/>
      </w:pPr>
      <w:rPr>
        <w:rFonts w:ascii="Symbol" w:hAnsi="Symbol" w:cs="Symbol" w:hint="default"/>
      </w:rPr>
    </w:lvl>
    <w:lvl w:ilvl="7">
      <w:start w:val="1"/>
      <w:numFmt w:val="bullet"/>
      <w:lvlText w:val="◦"/>
      <w:lvlJc w:val="start"/>
      <w:pPr>
        <w:tabs>
          <w:tab w:val="num" w:pos="3345"/>
        </w:tabs>
        <w:ind w:start="3345" w:hanging="360"/>
      </w:pPr>
      <w:rPr>
        <w:rFonts w:ascii="OpenSymbol" w:hAnsi="OpenSymbol" w:cs="OpenSymbol" w:hint="default"/>
      </w:rPr>
    </w:lvl>
    <w:lvl w:ilvl="8">
      <w:start w:val="1"/>
      <w:numFmt w:val="bullet"/>
      <w:lvlText w:val="▪"/>
      <w:lvlJc w:val="start"/>
      <w:pPr>
        <w:tabs>
          <w:tab w:val="num" w:pos="3705"/>
        </w:tabs>
        <w:ind w:start="3705" w:hanging="360"/>
      </w:pPr>
      <w:rPr>
        <w:rFonts w:ascii="OpenSymbol" w:hAnsi="OpenSymbol" w:cs="OpenSymbol" w:hint="default"/>
      </w:rPr>
    </w:lvl>
  </w:abstractNum>
  <w:abstractNum w:abstractNumId="4">
    <w:lvl w:ilvl="0">
      <w:start w:val="1"/>
      <w:numFmt w:val="bullet"/>
      <w:lvlText w:val=""/>
      <w:lvlJc w:val="start"/>
      <w:pPr>
        <w:tabs>
          <w:tab w:val="num" w:pos="825"/>
        </w:tabs>
        <w:ind w:start="825" w:hanging="360"/>
      </w:pPr>
      <w:rPr>
        <w:rFonts w:ascii="Symbol" w:hAnsi="Symbol" w:cs="Symbol" w:hint="default"/>
      </w:rPr>
    </w:lvl>
    <w:lvl w:ilvl="1">
      <w:start w:val="1"/>
      <w:numFmt w:val="bullet"/>
      <w:lvlText w:val="◦"/>
      <w:lvlJc w:val="start"/>
      <w:pPr>
        <w:tabs>
          <w:tab w:val="num" w:pos="1185"/>
        </w:tabs>
        <w:ind w:start="1185" w:hanging="360"/>
      </w:pPr>
      <w:rPr>
        <w:rFonts w:ascii="OpenSymbol" w:hAnsi="OpenSymbol" w:cs="OpenSymbol" w:hint="default"/>
      </w:rPr>
    </w:lvl>
    <w:lvl w:ilvl="2">
      <w:start w:val="1"/>
      <w:numFmt w:val="bullet"/>
      <w:lvlText w:val="▪"/>
      <w:lvlJc w:val="start"/>
      <w:pPr>
        <w:tabs>
          <w:tab w:val="num" w:pos="1545"/>
        </w:tabs>
        <w:ind w:start="1545" w:hanging="360"/>
      </w:pPr>
      <w:rPr>
        <w:rFonts w:ascii="OpenSymbol" w:hAnsi="OpenSymbol" w:cs="OpenSymbol" w:hint="default"/>
      </w:rPr>
    </w:lvl>
    <w:lvl w:ilvl="3">
      <w:start w:val="1"/>
      <w:numFmt w:val="bullet"/>
      <w:lvlText w:val=""/>
      <w:lvlJc w:val="start"/>
      <w:pPr>
        <w:tabs>
          <w:tab w:val="num" w:pos="1905"/>
        </w:tabs>
        <w:ind w:start="1905" w:hanging="360"/>
      </w:pPr>
      <w:rPr>
        <w:rFonts w:ascii="Symbol" w:hAnsi="Symbol" w:cs="Symbol" w:hint="default"/>
      </w:rPr>
    </w:lvl>
    <w:lvl w:ilvl="4">
      <w:start w:val="1"/>
      <w:numFmt w:val="bullet"/>
      <w:lvlText w:val="◦"/>
      <w:lvlJc w:val="start"/>
      <w:pPr>
        <w:tabs>
          <w:tab w:val="num" w:pos="2265"/>
        </w:tabs>
        <w:ind w:start="2265" w:hanging="360"/>
      </w:pPr>
      <w:rPr>
        <w:rFonts w:ascii="OpenSymbol" w:hAnsi="OpenSymbol" w:cs="OpenSymbol" w:hint="default"/>
      </w:rPr>
    </w:lvl>
    <w:lvl w:ilvl="5">
      <w:start w:val="1"/>
      <w:numFmt w:val="bullet"/>
      <w:lvlText w:val="▪"/>
      <w:lvlJc w:val="start"/>
      <w:pPr>
        <w:tabs>
          <w:tab w:val="num" w:pos="2625"/>
        </w:tabs>
        <w:ind w:start="2625" w:hanging="360"/>
      </w:pPr>
      <w:rPr>
        <w:rFonts w:ascii="OpenSymbol" w:hAnsi="OpenSymbol" w:cs="OpenSymbol" w:hint="default"/>
      </w:rPr>
    </w:lvl>
    <w:lvl w:ilvl="6">
      <w:start w:val="1"/>
      <w:numFmt w:val="bullet"/>
      <w:lvlText w:val=""/>
      <w:lvlJc w:val="start"/>
      <w:pPr>
        <w:tabs>
          <w:tab w:val="num" w:pos="2985"/>
        </w:tabs>
        <w:ind w:start="2985" w:hanging="360"/>
      </w:pPr>
      <w:rPr>
        <w:rFonts w:ascii="Symbol" w:hAnsi="Symbol" w:cs="Symbol" w:hint="default"/>
      </w:rPr>
    </w:lvl>
    <w:lvl w:ilvl="7">
      <w:start w:val="1"/>
      <w:numFmt w:val="bullet"/>
      <w:lvlText w:val="◦"/>
      <w:lvlJc w:val="start"/>
      <w:pPr>
        <w:tabs>
          <w:tab w:val="num" w:pos="3345"/>
        </w:tabs>
        <w:ind w:start="3345" w:hanging="360"/>
      </w:pPr>
      <w:rPr>
        <w:rFonts w:ascii="OpenSymbol" w:hAnsi="OpenSymbol" w:cs="OpenSymbol" w:hint="default"/>
      </w:rPr>
    </w:lvl>
    <w:lvl w:ilvl="8">
      <w:start w:val="1"/>
      <w:numFmt w:val="bullet"/>
      <w:lvlText w:val="▪"/>
      <w:lvlJc w:val="start"/>
      <w:pPr>
        <w:tabs>
          <w:tab w:val="num" w:pos="3705"/>
        </w:tabs>
        <w:ind w:start="3705" w:hanging="360"/>
      </w:pPr>
      <w:rPr>
        <w:rFonts w:ascii="OpenSymbol" w:hAnsi="OpenSymbol" w:cs="OpenSymbol" w:hint="default"/>
      </w:rPr>
    </w:lvl>
  </w:abstractNum>
  <w:abstractNum w:abstractNumId="5">
    <w:lvl w:ilvl="0">
      <w:start w:val="1"/>
      <w:numFmt w:val="bullet"/>
      <w:lvlText w:val=""/>
      <w:lvlJc w:val="start"/>
      <w:pPr>
        <w:tabs>
          <w:tab w:val="num" w:pos="825"/>
        </w:tabs>
        <w:ind w:start="825" w:hanging="360"/>
      </w:pPr>
      <w:rPr>
        <w:rFonts w:ascii="Symbol" w:hAnsi="Symbol" w:cs="Symbol" w:hint="default"/>
      </w:rPr>
    </w:lvl>
    <w:lvl w:ilvl="1">
      <w:start w:val="1"/>
      <w:numFmt w:val="bullet"/>
      <w:lvlText w:val="◦"/>
      <w:lvlJc w:val="start"/>
      <w:pPr>
        <w:tabs>
          <w:tab w:val="num" w:pos="1185"/>
        </w:tabs>
        <w:ind w:start="1185" w:hanging="360"/>
      </w:pPr>
      <w:rPr>
        <w:rFonts w:ascii="OpenSymbol" w:hAnsi="OpenSymbol" w:cs="OpenSymbol" w:hint="default"/>
      </w:rPr>
    </w:lvl>
    <w:lvl w:ilvl="2">
      <w:start w:val="1"/>
      <w:numFmt w:val="bullet"/>
      <w:lvlText w:val="▪"/>
      <w:lvlJc w:val="start"/>
      <w:pPr>
        <w:tabs>
          <w:tab w:val="num" w:pos="1545"/>
        </w:tabs>
        <w:ind w:start="1545" w:hanging="360"/>
      </w:pPr>
      <w:rPr>
        <w:rFonts w:ascii="OpenSymbol" w:hAnsi="OpenSymbol" w:cs="OpenSymbol" w:hint="default"/>
      </w:rPr>
    </w:lvl>
    <w:lvl w:ilvl="3">
      <w:start w:val="1"/>
      <w:numFmt w:val="bullet"/>
      <w:lvlText w:val=""/>
      <w:lvlJc w:val="start"/>
      <w:pPr>
        <w:tabs>
          <w:tab w:val="num" w:pos="1905"/>
        </w:tabs>
        <w:ind w:start="1905" w:hanging="360"/>
      </w:pPr>
      <w:rPr>
        <w:rFonts w:ascii="Symbol" w:hAnsi="Symbol" w:cs="Symbol" w:hint="default"/>
      </w:rPr>
    </w:lvl>
    <w:lvl w:ilvl="4">
      <w:start w:val="1"/>
      <w:numFmt w:val="bullet"/>
      <w:lvlText w:val="◦"/>
      <w:lvlJc w:val="start"/>
      <w:pPr>
        <w:tabs>
          <w:tab w:val="num" w:pos="2265"/>
        </w:tabs>
        <w:ind w:start="2265" w:hanging="360"/>
      </w:pPr>
      <w:rPr>
        <w:rFonts w:ascii="OpenSymbol" w:hAnsi="OpenSymbol" w:cs="OpenSymbol" w:hint="default"/>
      </w:rPr>
    </w:lvl>
    <w:lvl w:ilvl="5">
      <w:start w:val="1"/>
      <w:numFmt w:val="bullet"/>
      <w:lvlText w:val="▪"/>
      <w:lvlJc w:val="start"/>
      <w:pPr>
        <w:tabs>
          <w:tab w:val="num" w:pos="2625"/>
        </w:tabs>
        <w:ind w:start="2625" w:hanging="360"/>
      </w:pPr>
      <w:rPr>
        <w:rFonts w:ascii="OpenSymbol" w:hAnsi="OpenSymbol" w:cs="OpenSymbol" w:hint="default"/>
      </w:rPr>
    </w:lvl>
    <w:lvl w:ilvl="6">
      <w:start w:val="1"/>
      <w:numFmt w:val="bullet"/>
      <w:lvlText w:val=""/>
      <w:lvlJc w:val="start"/>
      <w:pPr>
        <w:tabs>
          <w:tab w:val="num" w:pos="2985"/>
        </w:tabs>
        <w:ind w:start="2985" w:hanging="360"/>
      </w:pPr>
      <w:rPr>
        <w:rFonts w:ascii="Symbol" w:hAnsi="Symbol" w:cs="Symbol" w:hint="default"/>
      </w:rPr>
    </w:lvl>
    <w:lvl w:ilvl="7">
      <w:start w:val="1"/>
      <w:numFmt w:val="bullet"/>
      <w:lvlText w:val="◦"/>
      <w:lvlJc w:val="start"/>
      <w:pPr>
        <w:tabs>
          <w:tab w:val="num" w:pos="3345"/>
        </w:tabs>
        <w:ind w:start="3345" w:hanging="360"/>
      </w:pPr>
      <w:rPr>
        <w:rFonts w:ascii="OpenSymbol" w:hAnsi="OpenSymbol" w:cs="OpenSymbol" w:hint="default"/>
      </w:rPr>
    </w:lvl>
    <w:lvl w:ilvl="8">
      <w:start w:val="1"/>
      <w:numFmt w:val="bullet"/>
      <w:lvlText w:val="▪"/>
      <w:lvlJc w:val="start"/>
      <w:pPr>
        <w:tabs>
          <w:tab w:val="num" w:pos="3705"/>
        </w:tabs>
        <w:ind w:start="3705" w:hanging="360"/>
      </w:pPr>
      <w:rPr>
        <w:rFonts w:ascii="OpenSymbol" w:hAnsi="OpenSymbol" w:cs="OpenSymbol" w:hint="default"/>
      </w:rPr>
    </w:lvl>
  </w:abstractNum>
  <w:abstractNum w:abstractNumId="6">
    <w:lvl w:ilvl="0">
      <w:start w:val="1"/>
      <w:numFmt w:val="bullet"/>
      <w:lvlText w:val=""/>
      <w:lvlJc w:val="start"/>
      <w:pPr>
        <w:tabs>
          <w:tab w:val="num" w:pos="825"/>
        </w:tabs>
        <w:ind w:start="825" w:hanging="360"/>
      </w:pPr>
      <w:rPr>
        <w:rFonts w:ascii="Symbol" w:hAnsi="Symbol" w:cs="Symbol" w:hint="default"/>
      </w:rPr>
    </w:lvl>
    <w:lvl w:ilvl="1">
      <w:start w:val="1"/>
      <w:numFmt w:val="bullet"/>
      <w:lvlText w:val="◦"/>
      <w:lvlJc w:val="start"/>
      <w:pPr>
        <w:tabs>
          <w:tab w:val="num" w:pos="1185"/>
        </w:tabs>
        <w:ind w:start="1185" w:hanging="360"/>
      </w:pPr>
      <w:rPr>
        <w:rFonts w:ascii="OpenSymbol" w:hAnsi="OpenSymbol" w:cs="OpenSymbol" w:hint="default"/>
      </w:rPr>
    </w:lvl>
    <w:lvl w:ilvl="2">
      <w:start w:val="1"/>
      <w:numFmt w:val="bullet"/>
      <w:lvlText w:val="▪"/>
      <w:lvlJc w:val="start"/>
      <w:pPr>
        <w:tabs>
          <w:tab w:val="num" w:pos="1545"/>
        </w:tabs>
        <w:ind w:start="1545" w:hanging="360"/>
      </w:pPr>
      <w:rPr>
        <w:rFonts w:ascii="OpenSymbol" w:hAnsi="OpenSymbol" w:cs="OpenSymbol" w:hint="default"/>
      </w:rPr>
    </w:lvl>
    <w:lvl w:ilvl="3">
      <w:start w:val="1"/>
      <w:numFmt w:val="bullet"/>
      <w:lvlText w:val=""/>
      <w:lvlJc w:val="start"/>
      <w:pPr>
        <w:tabs>
          <w:tab w:val="num" w:pos="1905"/>
        </w:tabs>
        <w:ind w:start="1905" w:hanging="360"/>
      </w:pPr>
      <w:rPr>
        <w:rFonts w:ascii="Symbol" w:hAnsi="Symbol" w:cs="Symbol" w:hint="default"/>
      </w:rPr>
    </w:lvl>
    <w:lvl w:ilvl="4">
      <w:start w:val="1"/>
      <w:numFmt w:val="bullet"/>
      <w:lvlText w:val="◦"/>
      <w:lvlJc w:val="start"/>
      <w:pPr>
        <w:tabs>
          <w:tab w:val="num" w:pos="2265"/>
        </w:tabs>
        <w:ind w:start="2265" w:hanging="360"/>
      </w:pPr>
      <w:rPr>
        <w:rFonts w:ascii="OpenSymbol" w:hAnsi="OpenSymbol" w:cs="OpenSymbol" w:hint="default"/>
      </w:rPr>
    </w:lvl>
    <w:lvl w:ilvl="5">
      <w:start w:val="1"/>
      <w:numFmt w:val="bullet"/>
      <w:lvlText w:val="▪"/>
      <w:lvlJc w:val="start"/>
      <w:pPr>
        <w:tabs>
          <w:tab w:val="num" w:pos="2625"/>
        </w:tabs>
        <w:ind w:start="2625" w:hanging="360"/>
      </w:pPr>
      <w:rPr>
        <w:rFonts w:ascii="OpenSymbol" w:hAnsi="OpenSymbol" w:cs="OpenSymbol" w:hint="default"/>
      </w:rPr>
    </w:lvl>
    <w:lvl w:ilvl="6">
      <w:start w:val="1"/>
      <w:numFmt w:val="bullet"/>
      <w:lvlText w:val=""/>
      <w:lvlJc w:val="start"/>
      <w:pPr>
        <w:tabs>
          <w:tab w:val="num" w:pos="2985"/>
        </w:tabs>
        <w:ind w:start="2985" w:hanging="360"/>
      </w:pPr>
      <w:rPr>
        <w:rFonts w:ascii="Symbol" w:hAnsi="Symbol" w:cs="Symbol" w:hint="default"/>
      </w:rPr>
    </w:lvl>
    <w:lvl w:ilvl="7">
      <w:start w:val="1"/>
      <w:numFmt w:val="bullet"/>
      <w:lvlText w:val="◦"/>
      <w:lvlJc w:val="start"/>
      <w:pPr>
        <w:tabs>
          <w:tab w:val="num" w:pos="3345"/>
        </w:tabs>
        <w:ind w:start="3345" w:hanging="360"/>
      </w:pPr>
      <w:rPr>
        <w:rFonts w:ascii="OpenSymbol" w:hAnsi="OpenSymbol" w:cs="OpenSymbol" w:hint="default"/>
      </w:rPr>
    </w:lvl>
    <w:lvl w:ilvl="8">
      <w:start w:val="1"/>
      <w:numFmt w:val="bullet"/>
      <w:lvlText w:val="▪"/>
      <w:lvlJc w:val="start"/>
      <w:pPr>
        <w:tabs>
          <w:tab w:val="num" w:pos="3705"/>
        </w:tabs>
        <w:ind w:start="3705" w:hanging="360"/>
      </w:pPr>
      <w:rPr>
        <w:rFonts w:ascii="OpenSymbol" w:hAnsi="OpenSymbol" w:cs="OpenSymbol" w:hint="default"/>
      </w:rPr>
    </w:lvl>
  </w:abstractNum>
  <w:abstractNum w:abstractNumId="7">
    <w:lvl w:ilvl="0">
      <w:start w:val="1"/>
      <w:numFmt w:val="bullet"/>
      <w:lvlText w:val=""/>
      <w:lvlJc w:val="start"/>
      <w:pPr>
        <w:tabs>
          <w:tab w:val="num" w:pos="825"/>
        </w:tabs>
        <w:ind w:start="825" w:hanging="360"/>
      </w:pPr>
      <w:rPr>
        <w:rFonts w:ascii="Symbol" w:hAnsi="Symbol" w:cs="Symbol" w:hint="default"/>
      </w:rPr>
    </w:lvl>
    <w:lvl w:ilvl="1">
      <w:start w:val="1"/>
      <w:numFmt w:val="bullet"/>
      <w:lvlText w:val="◦"/>
      <w:lvlJc w:val="start"/>
      <w:pPr>
        <w:tabs>
          <w:tab w:val="num" w:pos="1185"/>
        </w:tabs>
        <w:ind w:start="1185" w:hanging="360"/>
      </w:pPr>
      <w:rPr>
        <w:rFonts w:ascii="OpenSymbol" w:hAnsi="OpenSymbol" w:cs="OpenSymbol" w:hint="default"/>
      </w:rPr>
    </w:lvl>
    <w:lvl w:ilvl="2">
      <w:start w:val="1"/>
      <w:numFmt w:val="bullet"/>
      <w:lvlText w:val="▪"/>
      <w:lvlJc w:val="start"/>
      <w:pPr>
        <w:tabs>
          <w:tab w:val="num" w:pos="1545"/>
        </w:tabs>
        <w:ind w:start="1545" w:hanging="360"/>
      </w:pPr>
      <w:rPr>
        <w:rFonts w:ascii="OpenSymbol" w:hAnsi="OpenSymbol" w:cs="OpenSymbol" w:hint="default"/>
      </w:rPr>
    </w:lvl>
    <w:lvl w:ilvl="3">
      <w:start w:val="1"/>
      <w:numFmt w:val="bullet"/>
      <w:lvlText w:val=""/>
      <w:lvlJc w:val="start"/>
      <w:pPr>
        <w:tabs>
          <w:tab w:val="num" w:pos="1905"/>
        </w:tabs>
        <w:ind w:start="1905" w:hanging="360"/>
      </w:pPr>
      <w:rPr>
        <w:rFonts w:ascii="Symbol" w:hAnsi="Symbol" w:cs="Symbol" w:hint="default"/>
      </w:rPr>
    </w:lvl>
    <w:lvl w:ilvl="4">
      <w:start w:val="1"/>
      <w:numFmt w:val="bullet"/>
      <w:lvlText w:val="◦"/>
      <w:lvlJc w:val="start"/>
      <w:pPr>
        <w:tabs>
          <w:tab w:val="num" w:pos="2265"/>
        </w:tabs>
        <w:ind w:start="2265" w:hanging="360"/>
      </w:pPr>
      <w:rPr>
        <w:rFonts w:ascii="OpenSymbol" w:hAnsi="OpenSymbol" w:cs="OpenSymbol" w:hint="default"/>
      </w:rPr>
    </w:lvl>
    <w:lvl w:ilvl="5">
      <w:start w:val="1"/>
      <w:numFmt w:val="bullet"/>
      <w:lvlText w:val="▪"/>
      <w:lvlJc w:val="start"/>
      <w:pPr>
        <w:tabs>
          <w:tab w:val="num" w:pos="2625"/>
        </w:tabs>
        <w:ind w:start="2625" w:hanging="360"/>
      </w:pPr>
      <w:rPr>
        <w:rFonts w:ascii="OpenSymbol" w:hAnsi="OpenSymbol" w:cs="OpenSymbol" w:hint="default"/>
      </w:rPr>
    </w:lvl>
    <w:lvl w:ilvl="6">
      <w:start w:val="1"/>
      <w:numFmt w:val="bullet"/>
      <w:lvlText w:val=""/>
      <w:lvlJc w:val="start"/>
      <w:pPr>
        <w:tabs>
          <w:tab w:val="num" w:pos="2985"/>
        </w:tabs>
        <w:ind w:start="2985" w:hanging="360"/>
      </w:pPr>
      <w:rPr>
        <w:rFonts w:ascii="Symbol" w:hAnsi="Symbol" w:cs="Symbol" w:hint="default"/>
      </w:rPr>
    </w:lvl>
    <w:lvl w:ilvl="7">
      <w:start w:val="1"/>
      <w:numFmt w:val="bullet"/>
      <w:lvlText w:val="◦"/>
      <w:lvlJc w:val="start"/>
      <w:pPr>
        <w:tabs>
          <w:tab w:val="num" w:pos="3345"/>
        </w:tabs>
        <w:ind w:start="3345" w:hanging="360"/>
      </w:pPr>
      <w:rPr>
        <w:rFonts w:ascii="OpenSymbol" w:hAnsi="OpenSymbol" w:cs="OpenSymbol" w:hint="default"/>
      </w:rPr>
    </w:lvl>
    <w:lvl w:ilvl="8">
      <w:start w:val="1"/>
      <w:numFmt w:val="bullet"/>
      <w:lvlText w:val="▪"/>
      <w:lvlJc w:val="start"/>
      <w:pPr>
        <w:tabs>
          <w:tab w:val="num" w:pos="3705"/>
        </w:tabs>
        <w:ind w:start="3705"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FreeSans"/>
      <w:color w:val="auto"/>
      <w:kern w:val="2"/>
      <w:sz w:val="24"/>
      <w:szCs w:val="24"/>
      <w:lang w:val="en-US" w:eastAsia="zh-CN" w:bidi="hi-IN"/>
    </w:rPr>
  </w:style>
  <w:style w:type="paragraph" w:styleId="Heading1">
    <w:name w:val="Heading 1"/>
    <w:basedOn w:val="normal1"/>
    <w:next w:val="Normal"/>
    <w:qFormat/>
    <w:pPr>
      <w:pBdr/>
      <w:spacing w:lineRule="auto" w:line="240" w:before="240" w:after="240"/>
    </w:pPr>
    <w:rPr>
      <w:b/>
      <w:bCs/>
      <w:i w:val="false"/>
      <w:iCs w:val="false"/>
      <w:sz w:val="48"/>
      <w:szCs w:val="48"/>
    </w:rPr>
  </w:style>
  <w:style w:type="paragraph" w:styleId="Heading2">
    <w:name w:val="Heading 2"/>
    <w:basedOn w:val="normal1"/>
    <w:next w:val="Normal"/>
    <w:qFormat/>
    <w:pPr>
      <w:pBdr/>
      <w:spacing w:lineRule="auto" w:line="240" w:before="225" w:after="225"/>
    </w:pPr>
    <w:rPr>
      <w:b/>
      <w:bCs/>
      <w:i w:val="false"/>
      <w:iCs w:val="false"/>
      <w:sz w:val="36"/>
      <w:szCs w:val="36"/>
    </w:rPr>
  </w:style>
  <w:style w:type="paragraph" w:styleId="Heading3">
    <w:name w:val="Heading 3"/>
    <w:basedOn w:val="normal1"/>
    <w:next w:val="Normal"/>
    <w:qFormat/>
    <w:pPr>
      <w:pBdr/>
      <w:spacing w:lineRule="auto" w:line="240" w:before="240" w:after="240"/>
    </w:pPr>
    <w:rPr>
      <w:b/>
      <w:bCs/>
      <w:i w:val="false"/>
      <w:iCs w:val="false"/>
      <w:sz w:val="28"/>
      <w:szCs w:val="28"/>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name w:val="normal1"/>
    <w:qFormat/>
    <w:pPr>
      <w:widowControl/>
      <w:kinsoku w:val="true"/>
      <w:overflowPunct w:val="true"/>
      <w:autoSpaceDE w:val="true"/>
      <w:bidi w:val="0"/>
      <w:jc w:val="start"/>
    </w:pPr>
    <w:rPr>
      <w:rFonts w:ascii="Liberation Serif" w:hAnsi="Liberation Serif" w:eastAsia="Noto Serif CJK SC" w:cs="FreeSans"/>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i@heydylan.xyz" TargetMode="External"/><Relationship Id="rId3" Type="http://schemas.openxmlformats.org/officeDocument/2006/relationships/hyperlink" Target="http://www.heydylan.xyz/" TargetMode="External"/><Relationship Id="rId4" Type="http://schemas.openxmlformats.org/officeDocument/2006/relationships/hyperlink" Target="http://linkedin.com/in/heydylan" TargetMode="External"/><Relationship Id="rId5" Type="http://schemas.openxmlformats.org/officeDocument/2006/relationships/hyperlink" Target="http://heydylan.xyz/" TargetMode="External"/><Relationship Id="rId6" Type="http://schemas.openxmlformats.org/officeDocument/2006/relationships/hyperlink" Target="https://heydylan.xyz/projects/roles-and-permissions-feature/" TargetMode="External"/><Relationship Id="rId7" Type="http://schemas.openxmlformats.org/officeDocument/2006/relationships/hyperlink" Target="https://heydylan.xyz/projects/veterinary-intake-and-service-architectur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176</TotalTime>
  <Application>LibreOffice/24.2.7.2$Linux_X86_64 LibreOffice_project/420$Build-2</Application>
  <AppVersion>15.0000</AppVersion>
  <Pages>2</Pages>
  <Words>617</Words>
  <Characters>4023</Characters>
  <CharactersWithSpaces>4581</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2026-03-17T15:23:52Z</dcterms:created>
  <dc:creator/>
  <dc:description/>
  <dc:language>en-US</dc:language>
  <cp:lastModifiedBy/>
  <cp:lastPrinted>2026-06-29T11:32:51Z</cp:lastPrinted>
  <dcterms:modified xsi:type="dcterms:W3CDTF">2026-06-29T11:23:09Z</dcterms:modified>
  <cp:revision>33</cp:revision>
  <dc:subject/>
  <dc:title/>
</cp:coreProperties>
</file>