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60"/>
        <w:jc w:val="center"/>
      </w:pPr>
      <w:r>
        <w:rPr>
          <w:rFonts w:ascii="Calibri" w:cs="Calibri" w:eastAsia="Calibri" w:hAnsi="Calibri"/>
          <w:b/>
          <w:bCs/>
          <w:color w:val="6E1F14"/>
          <w:sz w:val="40"/>
          <w:szCs w:val="40"/>
        </w:rPr>
        <w:t xml:space="preserve">RS6485 — Formation Comptabilité pour TPE</w:t>
      </w:r>
    </w:p>
    <w:p>
      <w:pPr>
        <w:spacing w:after="500"/>
        <w:jc w:val="center"/>
      </w:pPr>
      <w:r>
        <w:rPr>
          <w:rFonts w:ascii="Calibri" w:cs="Calibri" w:eastAsia="Calibri" w:hAnsi="Calibri"/>
          <w:i/>
          <w:iCs/>
          <w:color w:val="A8442B"/>
          <w:sz w:val="24"/>
          <w:szCs w:val="24"/>
        </w:rPr>
        <w:t xml:space="preserve">Recueil des évaluations finales (5 modules)</w:t>
      </w:r>
    </w:p>
    <w:p>
      <w:pPr>
        <w:pBdr>
          <w:bottom w:val="single" w:color="A8442B" w:sz="12" w:space="8"/>
        </w:pBdr>
        <w:spacing w:after="500"/>
        <w:jc w:val="center"/>
      </w:pPr>
      <w:r>
        <w:rPr>
          <w:sz w:val="2"/>
          <w:szCs w:val="2"/>
        </w:rPr>
        <w:t xml:space="preserve"/>
      </w:r>
    </w:p>
    <w:p>
      <w:pPr>
        <w:spacing w:after="220"/>
      </w:pPr>
      <w:r>
        <w:rPr>
          <w:rFonts w:ascii="Calibri" w:cs="Calibri" w:eastAsia="Calibri" w:hAnsi="Calibri"/>
          <w:b/>
          <w:bCs/>
          <w:color w:val="6E1F14"/>
          <w:sz w:val="24"/>
          <w:szCs w:val="24"/>
        </w:rPr>
        <w:t xml:space="preserve">Formation</w:t>
      </w:r>
      <w:r>
        <w:rPr>
          <w:sz w:val="24"/>
          <w:szCs w:val="24"/>
        </w:rPr>
        <w:t xml:space="preserve">        </w:t>
      </w:r>
      <w:r>
        <w:rPr>
          <w:rFonts w:ascii="Calibri" w:cs="Calibri" w:eastAsia="Calibri" w:hAnsi="Calibri"/>
          <w:b w:val="false"/>
          <w:bCs w:val="false"/>
          <w:i w:val="false"/>
          <w:iCs w:val="false"/>
          <w:color w:val="1A1A1A"/>
          <w:sz w:val="24"/>
          <w:szCs w:val="24"/>
        </w:rPr>
        <w:t xml:space="preserve">RS6485 — Comptabilité TPE</w:t>
      </w:r>
    </w:p>
    <w:p>
      <w:pPr>
        <w:spacing w:after="220"/>
      </w:pPr>
      <w:r>
        <w:rPr>
          <w:rFonts w:ascii="Calibri" w:cs="Calibri" w:eastAsia="Calibri" w:hAnsi="Calibri"/>
          <w:b/>
          <w:bCs/>
          <w:color w:val="6E1F14"/>
          <w:sz w:val="24"/>
          <w:szCs w:val="24"/>
        </w:rPr>
        <w:t xml:space="preserve">Durée totale</w:t>
      </w:r>
      <w:r>
        <w:rPr>
          <w:sz w:val="24"/>
          <w:szCs w:val="24"/>
        </w:rPr>
        <w:t xml:space="preserve">        </w:t>
      </w:r>
      <w:r>
        <w:rPr>
          <w:rFonts w:ascii="Calibri" w:cs="Calibri" w:eastAsia="Calibri" w:hAnsi="Calibri"/>
          <w:b w:val="false"/>
          <w:bCs w:val="false"/>
          <w:i w:val="false"/>
          <w:iCs w:val="false"/>
          <w:color w:val="1A1A1A"/>
          <w:sz w:val="24"/>
          <w:szCs w:val="24"/>
        </w:rPr>
        <w:t xml:space="preserve">21 heures</w:t>
      </w:r>
    </w:p>
    <w:p>
      <w:pPr>
        <w:spacing w:after="80"/>
      </w:pPr>
      <w:r>
        <w:rPr>
          <w:rFonts w:ascii="Calibri" w:cs="Calibri" w:eastAsia="Calibri" w:hAnsi="Calibri"/>
          <w:b/>
          <w:bCs/>
          <w:color w:val="6E1F14"/>
          <w:sz w:val="24"/>
          <w:szCs w:val="24"/>
        </w:rPr>
        <w:t xml:space="preserve">Stagiaire</w:t>
      </w:r>
    </w:p>
    <w:p>
      <w:pPr>
        <w:spacing w:after="500"/>
      </w:pPr>
      <w:r>
        <w:t xml:space="preserve">Candidat CANDIDAT</w:t>
      </w:r>
    </w:p>
    <w:p>
      <w:pPr>
        <w:spacing w:after="500"/>
      </w:pPr>
    </w:p>
    <w:p>
      <w:r>
        <w:br w:type="page"/>
      </w:r>
    </w:p>
    <w:p>
      <w:pPr>
        <w:pStyle w:val="Heading1"/>
        <w:spacing w:after="60" w:before="200"/>
      </w:pPr>
      <w:r>
        <w:rPr>
          <w:rFonts w:ascii="Calibri" w:cs="Calibri" w:eastAsia="Calibri" w:hAnsi="Calibri"/>
          <w:b/>
          <w:bCs/>
          <w:color w:val="6E1F14"/>
          <w:sz w:val="32"/>
          <w:szCs w:val="32"/>
        </w:rPr>
        <w:t xml:space="preserve">Module 1 — Documents Comptables Fondamentaux</w:t>
      </w:r>
    </w:p>
    <w:p>
      <w:pPr>
        <w:spacing w:after="160"/>
      </w:pPr>
      <w:r>
        <w:rPr>
          <w:rFonts w:ascii="Calibri" w:cs="Calibri" w:eastAsia="Calibri" w:hAnsi="Calibri"/>
          <w:i/>
          <w:iCs/>
          <w:color w:val="6B7280"/>
          <w:sz w:val="20"/>
          <w:szCs w:val="20"/>
        </w:rPr>
        <w:t xml:space="preserve">Amortissements, journaux, analyse du compte de résultat — Évaluation finale</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______________________________</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finale</w:t>
            </w:r>
          </w:p>
        </w:tc>
      </w:tr>
    </w:tbl>
    <w:p>
      <w:pPr>
        <w:spacing w:after="200"/>
      </w:pPr>
    </w:p>
    <w:p>
      <w:pPr>
        <w:pStyle w:val="Heading2"/>
        <w:spacing w:after="160" w:before="240"/>
      </w:pPr>
      <w:r>
        <w:rPr>
          <w:rFonts w:ascii="Calibri" w:cs="Calibri" w:eastAsia="Calibri" w:hAnsi="Calibri"/>
          <w:b/>
          <w:bCs/>
          <w:color w:val="A8442B"/>
          <w:sz w:val="26"/>
          <w:szCs w:val="26"/>
        </w:rPr>
        <w:t xml:space="preserve">PARTIE 1 — QCM (1 point par question)</w:t>
      </w:r>
    </w:p>
    <w:p>
      <w:pPr>
        <w:spacing w:after="80" w:before="160"/>
      </w:pPr>
      <w:r>
        <w:rPr>
          <w:rFonts w:ascii="Calibri" w:cs="Calibri" w:eastAsia="Calibri" w:hAnsi="Calibri"/>
          <w:b/>
          <w:bCs/>
          <w:color w:val="6E1F14"/>
          <w:sz w:val="22"/>
          <w:szCs w:val="22"/>
        </w:rPr>
        <w:t xml:space="preserve">Question 1. </w:t>
      </w:r>
      <w:r>
        <w:rPr>
          <w:rFonts w:ascii="Calibri" w:cs="Calibri" w:eastAsia="Calibri" w:hAnsi="Calibri"/>
          <w:b w:val="false"/>
          <w:bCs w:val="false"/>
          <w:i w:val="false"/>
          <w:iCs w:val="false"/>
          <w:color w:val="1A1A1A"/>
          <w:sz w:val="22"/>
          <w:szCs w:val="22"/>
        </w:rPr>
        <w:t xml:space="preserve">L'amortissement linéaire d'un bien s'étalant sur 5 ans, acheté 6 000 € HT, génère une dotation annuelle de :</w:t>
      </w:r>
    </w:p>
    <w:p>
      <w:pPr>
        <w:spacing w:after="40"/>
        <w:ind w:left="400"/>
      </w:pPr>
      <w:sdt>
        <w:sdtPr>
          <w:rPr>
            <w:rFonts w:ascii="MS Gothic" w:eastAsia="MS Gothic" w:hAnsi="MS Gothic" w:cs="Arial" w:hint="eastAsia"/>
          </w:rPr>
          <w:id w:val="10000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600 €</w:t>
      </w:r>
    </w:p>
    <w:p>
      <w:pPr>
        <w:spacing w:after="40"/>
        <w:ind w:left="400"/>
      </w:pPr>
      <w:sdt>
        <w:sdtPr>
          <w:rPr>
            <w:rFonts w:ascii="MS Gothic" w:eastAsia="MS Gothic" w:hAnsi="MS Gothic" w:cs="Arial" w:hint="eastAsia"/>
          </w:rPr>
          <w:id w:val="10000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1 000 €</w:t>
      </w:r>
    </w:p>
    <w:p>
      <w:pPr>
        <w:spacing w:after="40"/>
        <w:ind w:left="400"/>
      </w:pPr>
      <w:sdt>
        <w:sdtPr>
          <w:rPr>
            <w:rFonts w:ascii="MS Gothic" w:eastAsia="MS Gothic" w:hAnsi="MS Gothic" w:cs="Arial" w:hint="eastAsia"/>
          </w:rPr>
          <w:id w:val="10000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1 200 €</w:t>
      </w:r>
    </w:p>
    <w:p>
      <w:pPr>
        <w:spacing w:after="40"/>
        <w:ind w:left="400"/>
      </w:pPr>
      <w:sdt>
        <w:sdtPr>
          <w:rPr>
            <w:rFonts w:ascii="MS Gothic" w:eastAsia="MS Gothic" w:hAnsi="MS Gothic" w:cs="Arial" w:hint="eastAsia"/>
          </w:rPr>
          <w:id w:val="10000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1 500 €</w:t>
      </w:r>
    </w:p>
    <w:p>
      <w:pPr>
        <w:spacing w:after="80" w:before="160"/>
      </w:pPr>
      <w:r>
        <w:rPr>
          <w:rFonts w:ascii="Calibri" w:cs="Calibri" w:eastAsia="Calibri" w:hAnsi="Calibri"/>
          <w:b/>
          <w:bCs/>
          <w:color w:val="6E1F14"/>
          <w:sz w:val="22"/>
          <w:szCs w:val="22"/>
        </w:rPr>
        <w:t xml:space="preserve">Question 2. </w:t>
      </w:r>
      <w:r>
        <w:rPr>
          <w:rFonts w:ascii="Calibri" w:cs="Calibri" w:eastAsia="Calibri" w:hAnsi="Calibri"/>
          <w:b w:val="false"/>
          <w:bCs w:val="false"/>
          <w:i w:val="false"/>
          <w:iCs w:val="false"/>
          <w:color w:val="1A1A1A"/>
          <w:sz w:val="22"/>
          <w:szCs w:val="22"/>
        </w:rPr>
        <w:t xml:space="preserve">Le 'rapprochement bancaire' consiste à :</w:t>
      </w:r>
    </w:p>
    <w:p>
      <w:pPr>
        <w:spacing w:after="40"/>
        <w:ind w:left="400"/>
      </w:pPr>
      <w:sdt>
        <w:sdtPr>
          <w:rPr>
            <w:rFonts w:ascii="MS Gothic" w:eastAsia="MS Gothic" w:hAnsi="MS Gothic" w:cs="Arial" w:hint="eastAsia"/>
          </w:rPr>
          <w:id w:val="10000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Comparer le solde de votre journal de banque avec le relevé bancaire réel</w:t>
      </w:r>
    </w:p>
    <w:p>
      <w:pPr>
        <w:spacing w:after="40"/>
        <w:ind w:left="400"/>
      </w:pPr>
      <w:sdt>
        <w:sdtPr>
          <w:rPr>
            <w:rFonts w:ascii="MS Gothic" w:eastAsia="MS Gothic" w:hAnsi="MS Gothic" w:cs="Arial" w:hint="eastAsia"/>
          </w:rPr>
          <w:id w:val="10000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Effectuer un virement entre deux comptes</w:t>
      </w:r>
    </w:p>
    <w:p>
      <w:pPr>
        <w:spacing w:after="40"/>
        <w:ind w:left="400"/>
      </w:pPr>
      <w:sdt>
        <w:sdtPr>
          <w:rPr>
            <w:rFonts w:ascii="MS Gothic" w:eastAsia="MS Gothic" w:hAnsi="MS Gothic" w:cs="Arial" w:hint="eastAsia"/>
          </w:rPr>
          <w:id w:val="10000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Calculer votre capacité d'emprunt</w:t>
      </w:r>
    </w:p>
    <w:p>
      <w:pPr>
        <w:spacing w:after="40"/>
        <w:ind w:left="400"/>
      </w:pPr>
      <w:sdt>
        <w:sdtPr>
          <w:rPr>
            <w:rFonts w:ascii="MS Gothic" w:eastAsia="MS Gothic" w:hAnsi="MS Gothic" w:cs="Arial" w:hint="eastAsia"/>
          </w:rPr>
          <w:id w:val="10000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Vérifier que les factures fournisseurs sont payées</w:t>
      </w:r>
    </w:p>
    <w:p>
      <w:pPr>
        <w:spacing w:after="80" w:before="160"/>
      </w:pPr>
      <w:r>
        <w:rPr>
          <w:rFonts w:ascii="Calibri" w:cs="Calibri" w:eastAsia="Calibri" w:hAnsi="Calibri"/>
          <w:b/>
          <w:bCs/>
          <w:color w:val="6E1F14"/>
          <w:sz w:val="22"/>
          <w:szCs w:val="22"/>
        </w:rPr>
        <w:t xml:space="preserve">Question 3. </w:t>
      </w:r>
      <w:r>
        <w:rPr>
          <w:rFonts w:ascii="Calibri" w:cs="Calibri" w:eastAsia="Calibri" w:hAnsi="Calibri"/>
          <w:b w:val="false"/>
          <w:bCs w:val="false"/>
          <w:i w:val="false"/>
          <w:iCs w:val="false"/>
          <w:color w:val="1A1A1A"/>
          <w:sz w:val="22"/>
          <w:szCs w:val="22"/>
        </w:rPr>
        <w:t xml:space="preserve">Une 'note de crédit' (ou avoir) est émise lorsque :</w:t>
      </w:r>
    </w:p>
    <w:p>
      <w:pPr>
        <w:spacing w:after="40"/>
        <w:ind w:left="400"/>
      </w:pPr>
      <w:sdt>
        <w:sdtPr>
          <w:rPr>
            <w:rFonts w:ascii="MS Gothic" w:eastAsia="MS Gothic" w:hAnsi="MS Gothic" w:cs="Arial" w:hint="eastAsia"/>
          </w:rPr>
          <w:id w:val="10000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Un client paie en avance</w:t>
      </w:r>
    </w:p>
    <w:p>
      <w:pPr>
        <w:spacing w:after="40"/>
        <w:ind w:left="400"/>
      </w:pPr>
      <w:sdt>
        <w:sdtPr>
          <w:rPr>
            <w:rFonts w:ascii="MS Gothic" w:eastAsia="MS Gothic" w:hAnsi="MS Gothic" w:cs="Arial" w:hint="eastAsia"/>
          </w:rPr>
          <w:id w:val="10001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Vous annulez ou remboursez partiellement une facture déjà émise</w:t>
      </w:r>
    </w:p>
    <w:p>
      <w:pPr>
        <w:spacing w:after="40"/>
        <w:ind w:left="400"/>
      </w:pPr>
      <w:sdt>
        <w:sdtPr>
          <w:rPr>
            <w:rFonts w:ascii="MS Gothic" w:eastAsia="MS Gothic" w:hAnsi="MS Gothic" w:cs="Arial" w:hint="eastAsia"/>
          </w:rPr>
          <w:id w:val="10001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Vous accordez un prêt à un client</w:t>
      </w:r>
    </w:p>
    <w:p>
      <w:pPr>
        <w:spacing w:after="40"/>
        <w:ind w:left="400"/>
      </w:pPr>
      <w:sdt>
        <w:sdtPr>
          <w:rPr>
            <w:rFonts w:ascii="MS Gothic" w:eastAsia="MS Gothic" w:hAnsi="MS Gothic" w:cs="Arial" w:hint="eastAsia"/>
          </w:rPr>
          <w:id w:val="10001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Un fournisseur vous accorde une remise sur le prochain achat</w:t>
      </w:r>
    </w:p>
    <w:p>
      <w:pPr>
        <w:spacing w:after="80" w:before="160"/>
      </w:pPr>
      <w:r>
        <w:rPr>
          <w:rFonts w:ascii="Calibri" w:cs="Calibri" w:eastAsia="Calibri" w:hAnsi="Calibri"/>
          <w:b/>
          <w:bCs/>
          <w:color w:val="6E1F14"/>
          <w:sz w:val="22"/>
          <w:szCs w:val="22"/>
        </w:rPr>
        <w:t xml:space="preserve">Question 4. </w:t>
      </w:r>
      <w:r>
        <w:rPr>
          <w:rFonts w:ascii="Calibri" w:cs="Calibri" w:eastAsia="Calibri" w:hAnsi="Calibri"/>
          <w:b w:val="false"/>
          <w:bCs w:val="false"/>
          <w:i w:val="false"/>
          <w:iCs w:val="false"/>
          <w:color w:val="1A1A1A"/>
          <w:sz w:val="22"/>
          <w:szCs w:val="22"/>
        </w:rPr>
        <w:t xml:space="preserve">En régime réel simplifié, le registre des immobilisations est obligatoire. Que doit-il contenir ?</w:t>
      </w:r>
    </w:p>
    <w:p>
      <w:pPr>
        <w:spacing w:after="40"/>
        <w:ind w:left="400"/>
      </w:pPr>
      <w:sdt>
        <w:sdtPr>
          <w:rPr>
            <w:rFonts w:ascii="MS Gothic" w:eastAsia="MS Gothic" w:hAnsi="MS Gothic" w:cs="Arial" w:hint="eastAsia"/>
          </w:rPr>
          <w:id w:val="10001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La liste des clients et leurs soldes</w:t>
      </w:r>
    </w:p>
    <w:p>
      <w:pPr>
        <w:spacing w:after="40"/>
        <w:ind w:left="400"/>
      </w:pPr>
      <w:sdt>
        <w:sdtPr>
          <w:rPr>
            <w:rFonts w:ascii="MS Gothic" w:eastAsia="MS Gothic" w:hAnsi="MS Gothic" w:cs="Arial" w:hint="eastAsia"/>
          </w:rPr>
          <w:id w:val="10001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La liste des biens amortissables avec date, valeur, durée d'amortissement</w:t>
      </w:r>
    </w:p>
    <w:p>
      <w:pPr>
        <w:spacing w:after="40"/>
        <w:ind w:left="400"/>
      </w:pPr>
      <w:sdt>
        <w:sdtPr>
          <w:rPr>
            <w:rFonts w:ascii="MS Gothic" w:eastAsia="MS Gothic" w:hAnsi="MS Gothic" w:cs="Arial" w:hint="eastAsia"/>
          </w:rPr>
          <w:id w:val="10001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Le planning de maintenance préventive</w:t>
      </w:r>
    </w:p>
    <w:p>
      <w:pPr>
        <w:spacing w:after="40"/>
        <w:ind w:left="400"/>
      </w:pPr>
      <w:sdt>
        <w:sdtPr>
          <w:rPr>
            <w:rFonts w:ascii="MS Gothic" w:eastAsia="MS Gothic" w:hAnsi="MS Gothic" w:cs="Arial" w:hint="eastAsia"/>
          </w:rPr>
          <w:id w:val="10001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La liste des fournisseurs agréés</w:t>
      </w:r>
    </w:p>
    <w:p>
      <w:pPr>
        <w:spacing w:after="80" w:before="160"/>
      </w:pPr>
      <w:r>
        <w:rPr>
          <w:rFonts w:ascii="Calibri" w:cs="Calibri" w:eastAsia="Calibri" w:hAnsi="Calibri"/>
          <w:b/>
          <w:bCs/>
          <w:color w:val="6E1F14"/>
          <w:sz w:val="22"/>
          <w:szCs w:val="22"/>
        </w:rPr>
        <w:t xml:space="preserve">Question 5. </w:t>
      </w:r>
      <w:r>
        <w:rPr>
          <w:rFonts w:ascii="Calibri" w:cs="Calibri" w:eastAsia="Calibri" w:hAnsi="Calibri"/>
          <w:b w:val="false"/>
          <w:bCs w:val="false"/>
          <w:i w:val="false"/>
          <w:iCs w:val="false"/>
          <w:color w:val="1A1A1A"/>
          <w:sz w:val="22"/>
          <w:szCs w:val="22"/>
        </w:rPr>
        <w:t xml:space="preserve">Les 'charges à payer' en comptabilité représentent :</w:t>
      </w:r>
    </w:p>
    <w:p>
      <w:pPr>
        <w:spacing w:after="40"/>
        <w:ind w:left="400"/>
      </w:pPr>
      <w:sdt>
        <w:sdtPr>
          <w:rPr>
            <w:rFonts w:ascii="MS Gothic" w:eastAsia="MS Gothic" w:hAnsi="MS Gothic" w:cs="Arial" w:hint="eastAsia"/>
          </w:rPr>
          <w:id w:val="10001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Les dépenses déjà payées mais pas encore livrées</w:t>
      </w:r>
    </w:p>
    <w:p>
      <w:pPr>
        <w:spacing w:after="40"/>
        <w:ind w:left="400"/>
      </w:pPr>
      <w:sdt>
        <w:sdtPr>
          <w:rPr>
            <w:rFonts w:ascii="MS Gothic" w:eastAsia="MS Gothic" w:hAnsi="MS Gothic" w:cs="Arial" w:hint="eastAsia"/>
          </w:rPr>
          <w:id w:val="10001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Les charges dont le montant est connu mais pas encore facturé ou payé à la clôture</w:t>
      </w:r>
    </w:p>
    <w:p>
      <w:pPr>
        <w:spacing w:after="40"/>
        <w:ind w:left="400"/>
      </w:pPr>
      <w:sdt>
        <w:sdtPr>
          <w:rPr>
            <w:rFonts w:ascii="MS Gothic" w:eastAsia="MS Gothic" w:hAnsi="MS Gothic" w:cs="Arial" w:hint="eastAsia"/>
          </w:rPr>
          <w:id w:val="10001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Les provisions pour risques futurs</w:t>
      </w:r>
    </w:p>
    <w:p>
      <w:pPr>
        <w:spacing w:after="40"/>
        <w:ind w:left="400"/>
      </w:pPr>
      <w:sdt>
        <w:sdtPr>
          <w:rPr>
            <w:rFonts w:ascii="MS Gothic" w:eastAsia="MS Gothic" w:hAnsi="MS Gothic" w:cs="Arial" w:hint="eastAsia"/>
          </w:rPr>
          <w:id w:val="10002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Les acomptes versés aux fournisseurs</w:t>
      </w:r>
    </w:p>
    <w:p>
      <w:pPr>
        <w:pStyle w:val="Heading2"/>
        <w:spacing w:after="160" w:before="240"/>
      </w:pPr>
      <w:r>
        <w:rPr>
          <w:rFonts w:ascii="Calibri" w:cs="Calibri" w:eastAsia="Calibri" w:hAnsi="Calibri"/>
          <w:b/>
          <w:bCs/>
          <w:color w:val="A8442B"/>
          <w:sz w:val="26"/>
          <w:szCs w:val="26"/>
        </w:rPr>
        <w:t xml:space="preserve">PARTIE 2 — Questions ouvertes (5 points chacune)</w:t>
      </w:r>
    </w:p>
    <w:p>
      <w:pPr>
        <w:spacing w:after="100" w:before="160"/>
      </w:pPr>
      <w:r>
        <w:rPr>
          <w:rFonts w:ascii="Calibri" w:cs="Calibri" w:eastAsia="Calibri" w:hAnsi="Calibri"/>
          <w:b/>
          <w:bCs/>
          <w:color w:val="6E1F14"/>
          <w:sz w:val="22"/>
          <w:szCs w:val="22"/>
        </w:rPr>
        <w:t xml:space="preserve">Question 1 : </w:t>
      </w:r>
      <w:r>
        <w:rPr>
          <w:rFonts w:ascii="Calibri" w:cs="Calibri" w:eastAsia="Calibri" w:hAnsi="Calibri"/>
          <w:b w:val="false"/>
          <w:bCs w:val="false"/>
          <w:i w:val="false"/>
          <w:iCs w:val="false"/>
          <w:color w:val="1A1A1A"/>
          <w:sz w:val="22"/>
          <w:szCs w:val="22"/>
        </w:rPr>
        <w:t xml:space="preserve">Expliquez le processus complet de facturation, de l'émission au paiement, pour une intervention chez un client particulier.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pPr>
        <w:spacing w:after="160"/>
      </w:pPr>
    </w:p>
    <w:p>
      <w:pPr>
        <w:spacing w:after="100" w:before="160"/>
      </w:pPr>
      <w:r>
        <w:rPr>
          <w:rFonts w:ascii="Calibri" w:cs="Calibri" w:eastAsia="Calibri" w:hAnsi="Calibri"/>
          <w:b/>
          <w:bCs/>
          <w:color w:val="6E1F14"/>
          <w:sz w:val="22"/>
          <w:szCs w:val="22"/>
        </w:rPr>
        <w:t xml:space="preserve">Question 2 : </w:t>
      </w:r>
      <w:r>
        <w:rPr>
          <w:rFonts w:ascii="Calibri" w:cs="Calibri" w:eastAsia="Calibri" w:hAnsi="Calibri"/>
          <w:b w:val="false"/>
          <w:bCs w:val="false"/>
          <w:i w:val="false"/>
          <w:iCs w:val="false"/>
          <w:color w:val="1A1A1A"/>
          <w:sz w:val="22"/>
          <w:szCs w:val="22"/>
        </w:rPr>
        <w:t xml:space="preserve">Qu'est-ce qu'un 'plan de financement' et pourquoi est-il utile pour une TPE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pPr>
        <w:spacing w:after="160"/>
      </w:pPr>
    </w:p>
    <w:p>
      <w:pPr>
        <w:pStyle w:val="Heading2"/>
        <w:spacing w:after="160" w:before="240"/>
      </w:pPr>
      <w:r>
        <w:rPr>
          <w:rFonts w:ascii="Calibri" w:cs="Calibri" w:eastAsia="Calibri" w:hAnsi="Calibri"/>
          <w:b/>
          <w:bCs/>
          <w:color w:val="A8442B"/>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442B" w:sz="4"/>
              <w:left w:val="single" w:color="A8442B" w:sz="4"/>
              <w:bottom w:val="single" w:color="A8442B" w:sz="4"/>
              <w:right w:val="single" w:color="A8442B" w:sz="4"/>
            </w:tcBorders>
            <w:shd w:fill="FBEEE9" w:color="auto" w:val="clear"/>
            <w:tcMar>
              <w:top w:type="dxa" w:w="150"/>
              <w:left w:type="dxa" w:w="200"/>
              <w:bottom w:type="dxa" w:w="150"/>
              <w:right w:type="dxa" w:w="200"/>
            </w:tcMar>
          </w:tcPr>
          <w:p>
            <w:r>
              <w:rPr>
                <w:rFonts w:ascii="Calibri" w:cs="Calibri" w:eastAsia="Calibri" w:hAnsi="Calibri"/>
                <w:b/>
                <w:bCs/>
                <w:color w:val="A8442B"/>
                <w:sz w:val="21"/>
                <w:szCs w:val="21"/>
              </w:rPr>
              <w:t xml:space="preserve">Scénario — </w:t>
            </w:r>
          </w:p>
          <w:p>
            <w:pPr>
              <w:spacing w:before="60"/>
            </w:pPr>
            <w:r>
              <w:rPr>
                <w:rFonts w:ascii="Calibri" w:cs="Calibri" w:eastAsia="Calibri" w:hAnsi="Calibri"/>
                <w:b w:val="false"/>
                <w:bCs w:val="false"/>
                <w:i/>
                <w:iCs/>
                <w:color w:val="1A1A1A"/>
                <w:sz w:val="21"/>
                <w:szCs w:val="21"/>
              </w:rPr>
              <w:t xml:space="preserve">Vous recevez une mise en demeure d'un fournisseur pour une facture de 2 350 € TTC impayée depuis 75 jours. En vérifiant votre comptabilité vous constatez que cette facture n'a jamais été enregistrée dans votre journal d'achats.</w:t>
            </w:r>
          </w:p>
        </w:tc>
      </w:tr>
    </w:tbl>
    <w:p>
      <w:pPr>
        <w:spacing w:after="140"/>
      </w:pPr>
    </w:p>
    <w:p>
      <w:pPr>
        <w:spacing w:after="120"/>
      </w:pPr>
      <w:r>
        <w:rPr>
          <w:rFonts w:ascii="Calibri" w:cs="Calibri" w:eastAsia="Calibri" w:hAnsi="Calibri"/>
          <w:b/>
          <w:bCs/>
          <w:color w:val="6E1F14"/>
          <w:sz w:val="22"/>
          <w:szCs w:val="22"/>
        </w:rPr>
        <w:t xml:space="preserve">Mission : </w:t>
      </w:r>
      <w:r>
        <w:rPr>
          <w:rFonts w:ascii="Calibri" w:cs="Calibri" w:eastAsia="Calibri" w:hAnsi="Calibri"/>
          <w:b w:val="false"/>
          <w:bCs w:val="false"/>
          <w:i w:val="false"/>
          <w:iCs w:val="false"/>
          <w:color w:val="1A1A1A"/>
          <w:sz w:val="22"/>
          <w:szCs w:val="22"/>
        </w:rPr>
        <w:t xml:space="preserve">Décrivez les étapes pour régulariser cette situation comptablement et pratiquement.</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r>
              <w:t xml:space="preserve">Le montant des capitaux propres est calculé par la formule : Capitaux Propres = Actif Total - Dettes (Fournisseurs + Emprunts). Soit : 96 000 € - (11 000 € + 27 000 €) = 58 000 €. Ce résultat indique une excellente solidité financière : l'entreprise finance plus de 60% de ses actifs par ses fonds propres, ce qui garantit une forte autonomie financière vis-à-vis des tiers.</w:t>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r>
        <w:br w:type="page"/>
      </w:r>
    </w:p>
    <w:p>
      <w:pPr>
        <w:pStyle w:val="Heading1"/>
        <w:spacing w:after="60" w:before="200"/>
      </w:pPr>
      <w:r>
        <w:rPr>
          <w:rFonts w:ascii="Calibri" w:cs="Calibri" w:eastAsia="Calibri" w:hAnsi="Calibri"/>
          <w:b/>
          <w:bCs/>
          <w:color w:val="6E1F14"/>
          <w:sz w:val="32"/>
          <w:szCs w:val="32"/>
        </w:rPr>
        <w:t xml:space="preserve">Module 2 — Opérations Comptables Courantes</w:t>
      </w:r>
    </w:p>
    <w:p>
      <w:pPr>
        <w:spacing w:after="160"/>
      </w:pPr>
      <w:r>
        <w:rPr>
          <w:rFonts w:ascii="Calibri" w:cs="Calibri" w:eastAsia="Calibri" w:hAnsi="Calibri"/>
          <w:i/>
          <w:iCs/>
          <w:color w:val="6B7280"/>
          <w:sz w:val="20"/>
          <w:szCs w:val="20"/>
        </w:rPr>
        <w:t xml:space="preserve">Amortissements, rapprochement bancaire, plan de financement — Évaluation finale</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______________________________</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finale</w:t>
            </w:r>
          </w:p>
        </w:tc>
      </w:tr>
    </w:tbl>
    <w:p>
      <w:pPr>
        <w:spacing w:after="200"/>
      </w:pPr>
    </w:p>
    <w:p>
      <w:pPr>
        <w:pStyle w:val="Heading2"/>
        <w:spacing w:after="160" w:before="240"/>
      </w:pPr>
      <w:r>
        <w:rPr>
          <w:rFonts w:ascii="Calibri" w:cs="Calibri" w:eastAsia="Calibri" w:hAnsi="Calibri"/>
          <w:b/>
          <w:bCs/>
          <w:color w:val="A8442B"/>
          <w:sz w:val="26"/>
          <w:szCs w:val="26"/>
        </w:rPr>
        <w:t xml:space="preserve">PARTIE 1 — QCM (1 point par question)</w:t>
      </w:r>
    </w:p>
    <w:p>
      <w:pPr>
        <w:spacing w:after="80" w:before="160"/>
      </w:pPr>
      <w:r>
        <w:rPr>
          <w:rFonts w:ascii="Calibri" w:cs="Calibri" w:eastAsia="Calibri" w:hAnsi="Calibri"/>
          <w:b/>
          <w:bCs/>
          <w:color w:val="6E1F14"/>
          <w:sz w:val="22"/>
          <w:szCs w:val="22"/>
        </w:rPr>
        <w:t xml:space="preserve">Question 1. </w:t>
      </w:r>
      <w:r>
        <w:rPr>
          <w:rFonts w:ascii="Calibri" w:cs="Calibri" w:eastAsia="Calibri" w:hAnsi="Calibri"/>
          <w:b w:val="false"/>
          <w:bCs w:val="false"/>
          <w:i w:val="false"/>
          <w:iCs w:val="false"/>
          <w:color w:val="1A1A1A"/>
          <w:sz w:val="22"/>
          <w:szCs w:val="22"/>
        </w:rPr>
        <w:t xml:space="preserve">Le 'fonds de roulement' (FR) d'une entreprise se calcule par :</w:t>
      </w:r>
    </w:p>
    <w:p>
      <w:pPr>
        <w:spacing w:after="40"/>
        <w:ind w:left="400"/>
      </w:pPr>
      <w:sdt>
        <w:sdtPr>
          <w:rPr>
            <w:rFonts w:ascii="MS Gothic" w:eastAsia="MS Gothic" w:hAnsi="MS Gothic" w:cs="Arial" w:hint="eastAsia"/>
          </w:rPr>
          <w:id w:val="10002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CA - Charges variables</w:t>
      </w:r>
    </w:p>
    <w:p>
      <w:pPr>
        <w:spacing w:after="40"/>
        <w:ind w:left="400"/>
      </w:pPr>
      <w:sdt>
        <w:sdtPr>
          <w:rPr>
            <w:rFonts w:ascii="MS Gothic" w:eastAsia="MS Gothic" w:hAnsi="MS Gothic" w:cs="Arial" w:hint="eastAsia"/>
          </w:rPr>
          <w:id w:val="10002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Capitaux permanents - Actif immobilisé</w:t>
      </w:r>
    </w:p>
    <w:p>
      <w:pPr>
        <w:spacing w:after="40"/>
        <w:ind w:left="400"/>
      </w:pPr>
      <w:sdt>
        <w:sdtPr>
          <w:rPr>
            <w:rFonts w:ascii="MS Gothic" w:eastAsia="MS Gothic" w:hAnsi="MS Gothic" w:cs="Arial" w:hint="eastAsia"/>
          </w:rPr>
          <w:id w:val="10002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Actif circulant / Dettes à court terme</w:t>
      </w:r>
    </w:p>
    <w:p>
      <w:pPr>
        <w:spacing w:after="40"/>
        <w:ind w:left="400"/>
      </w:pPr>
      <w:sdt>
        <w:sdtPr>
          <w:rPr>
            <w:rFonts w:ascii="MS Gothic" w:eastAsia="MS Gothic" w:hAnsi="MS Gothic" w:cs="Arial" w:hint="eastAsia"/>
          </w:rPr>
          <w:id w:val="10002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Bénéfice net / Capitaux propres</w:t>
      </w:r>
    </w:p>
    <w:p>
      <w:pPr>
        <w:spacing w:after="80" w:before="160"/>
      </w:pPr>
      <w:r>
        <w:rPr>
          <w:rFonts w:ascii="Calibri" w:cs="Calibri" w:eastAsia="Calibri" w:hAnsi="Calibri"/>
          <w:b/>
          <w:bCs/>
          <w:color w:val="6E1F14"/>
          <w:sz w:val="22"/>
          <w:szCs w:val="22"/>
        </w:rPr>
        <w:t xml:space="preserve">Question 2. </w:t>
      </w:r>
      <w:r>
        <w:rPr>
          <w:rFonts w:ascii="Calibri" w:cs="Calibri" w:eastAsia="Calibri" w:hAnsi="Calibri"/>
          <w:b w:val="false"/>
          <w:bCs w:val="false"/>
          <w:i w:val="false"/>
          <w:iCs w:val="false"/>
          <w:color w:val="1A1A1A"/>
          <w:sz w:val="22"/>
          <w:szCs w:val="22"/>
        </w:rPr>
        <w:t xml:space="preserve">Un ratio de liquidité générale supérieur à 1 signifie :</w:t>
      </w:r>
    </w:p>
    <w:p>
      <w:pPr>
        <w:spacing w:after="40"/>
        <w:ind w:left="400"/>
      </w:pPr>
      <w:sdt>
        <w:sdtPr>
          <w:rPr>
            <w:rFonts w:ascii="MS Gothic" w:eastAsia="MS Gothic" w:hAnsi="MS Gothic" w:cs="Arial" w:hint="eastAsia"/>
          </w:rPr>
          <w:id w:val="10002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L'entreprise est en difficulté</w:t>
      </w:r>
    </w:p>
    <w:p>
      <w:pPr>
        <w:spacing w:after="40"/>
        <w:ind w:left="400"/>
      </w:pPr>
      <w:sdt>
        <w:sdtPr>
          <w:rPr>
            <w:rFonts w:ascii="MS Gothic" w:eastAsia="MS Gothic" w:hAnsi="MS Gothic" w:cs="Arial" w:hint="eastAsia"/>
          </w:rPr>
          <w:id w:val="10002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L'entreprise peut honorer ses dettes à court terme avec ses actifs circulants</w:t>
      </w:r>
    </w:p>
    <w:p>
      <w:pPr>
        <w:spacing w:after="40"/>
        <w:ind w:left="400"/>
      </w:pPr>
      <w:sdt>
        <w:sdtPr>
          <w:rPr>
            <w:rFonts w:ascii="MS Gothic" w:eastAsia="MS Gothic" w:hAnsi="MS Gothic" w:cs="Arial" w:hint="eastAsia"/>
          </w:rPr>
          <w:id w:val="10002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L'entreprise est surendettée</w:t>
      </w:r>
    </w:p>
    <w:p>
      <w:pPr>
        <w:spacing w:after="40"/>
        <w:ind w:left="400"/>
      </w:pPr>
      <w:sdt>
        <w:sdtPr>
          <w:rPr>
            <w:rFonts w:ascii="MS Gothic" w:eastAsia="MS Gothic" w:hAnsi="MS Gothic" w:cs="Arial" w:hint="eastAsia"/>
          </w:rPr>
          <w:id w:val="10002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Le CA est supérieur aux charges</w:t>
      </w:r>
    </w:p>
    <w:p>
      <w:pPr>
        <w:spacing w:after="80" w:before="160"/>
      </w:pPr>
      <w:r>
        <w:rPr>
          <w:rFonts w:ascii="Calibri" w:cs="Calibri" w:eastAsia="Calibri" w:hAnsi="Calibri"/>
          <w:b/>
          <w:bCs/>
          <w:color w:val="6E1F14"/>
          <w:sz w:val="22"/>
          <w:szCs w:val="22"/>
        </w:rPr>
        <w:t xml:space="preserve">Question 3. </w:t>
      </w:r>
      <w:r>
        <w:rPr>
          <w:rFonts w:ascii="Calibri" w:cs="Calibri" w:eastAsia="Calibri" w:hAnsi="Calibri"/>
          <w:b w:val="false"/>
          <w:bCs w:val="false"/>
          <w:i w:val="false"/>
          <w:iCs w:val="false"/>
          <w:color w:val="1A1A1A"/>
          <w:sz w:val="22"/>
          <w:szCs w:val="22"/>
        </w:rPr>
        <w:t xml:space="preserve">Dans un prévisionnel de trésorerie, un solde mensuel négatif indique :</w:t>
      </w:r>
    </w:p>
    <w:p>
      <w:pPr>
        <w:spacing w:after="40"/>
        <w:ind w:left="400"/>
      </w:pPr>
      <w:sdt>
        <w:sdtPr>
          <w:rPr>
            <w:rFonts w:ascii="MS Gothic" w:eastAsia="MS Gothic" w:hAnsi="MS Gothic" w:cs="Arial" w:hint="eastAsia"/>
          </w:rPr>
          <w:id w:val="10002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Une perte d'exploitation ce mois</w:t>
      </w:r>
    </w:p>
    <w:p>
      <w:pPr>
        <w:spacing w:after="40"/>
        <w:ind w:left="400"/>
      </w:pPr>
      <w:sdt>
        <w:sdtPr>
          <w:rPr>
            <w:rFonts w:ascii="MS Gothic" w:eastAsia="MS Gothic" w:hAnsi="MS Gothic" w:cs="Arial" w:hint="eastAsia"/>
          </w:rPr>
          <w:id w:val="10003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Un mois où les sorties d'argent dépassent les entrées (tension de trésorerie)</w:t>
      </w:r>
    </w:p>
    <w:p>
      <w:pPr>
        <w:spacing w:after="40"/>
        <w:ind w:left="400"/>
      </w:pPr>
      <w:sdt>
        <w:sdtPr>
          <w:rPr>
            <w:rFonts w:ascii="MS Gothic" w:eastAsia="MS Gothic" w:hAnsi="MS Gothic" w:cs="Arial" w:hint="eastAsia"/>
          </w:rPr>
          <w:id w:val="10003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Une fraude fiscale</w:t>
      </w:r>
    </w:p>
    <w:p>
      <w:pPr>
        <w:spacing w:after="40"/>
        <w:ind w:left="400"/>
      </w:pPr>
      <w:sdt>
        <w:sdtPr>
          <w:rPr>
            <w:rFonts w:ascii="MS Gothic" w:eastAsia="MS Gothic" w:hAnsi="MS Gothic" w:cs="Arial" w:hint="eastAsia"/>
          </w:rPr>
          <w:id w:val="10003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Une erreur de calcul</w:t>
      </w:r>
    </w:p>
    <w:p>
      <w:pPr>
        <w:spacing w:after="80" w:before="160"/>
      </w:pPr>
      <w:r>
        <w:rPr>
          <w:rFonts w:ascii="Calibri" w:cs="Calibri" w:eastAsia="Calibri" w:hAnsi="Calibri"/>
          <w:b/>
          <w:bCs/>
          <w:color w:val="6E1F14"/>
          <w:sz w:val="22"/>
          <w:szCs w:val="22"/>
        </w:rPr>
        <w:t xml:space="preserve">Question 4. </w:t>
      </w:r>
      <w:r>
        <w:rPr>
          <w:rFonts w:ascii="Calibri" w:cs="Calibri" w:eastAsia="Calibri" w:hAnsi="Calibri"/>
          <w:b w:val="false"/>
          <w:bCs w:val="false"/>
          <w:i w:val="false"/>
          <w:iCs w:val="false"/>
          <w:color w:val="1A1A1A"/>
          <w:sz w:val="22"/>
          <w:szCs w:val="22"/>
        </w:rPr>
        <w:t xml:space="preserve">La 'marge sur coût variable' (MCV) est utilisée pour :</w:t>
      </w:r>
    </w:p>
    <w:p>
      <w:pPr>
        <w:spacing w:after="40"/>
        <w:ind w:left="400"/>
      </w:pPr>
      <w:sdt>
        <w:sdtPr>
          <w:rPr>
            <w:rFonts w:ascii="MS Gothic" w:eastAsia="MS Gothic" w:hAnsi="MS Gothic" w:cs="Arial" w:hint="eastAsia"/>
          </w:rPr>
          <w:id w:val="10003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Calculer le bénéfice brut</w:t>
      </w:r>
    </w:p>
    <w:p>
      <w:pPr>
        <w:spacing w:after="40"/>
        <w:ind w:left="400"/>
      </w:pPr>
      <w:sdt>
        <w:sdtPr>
          <w:rPr>
            <w:rFonts w:ascii="MS Gothic" w:eastAsia="MS Gothic" w:hAnsi="MS Gothic" w:cs="Arial" w:hint="eastAsia"/>
          </w:rPr>
          <w:id w:val="10003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Calculer la contribution de chaque vente à la couverture des charges fixes</w:t>
      </w:r>
    </w:p>
    <w:p>
      <w:pPr>
        <w:spacing w:after="40"/>
        <w:ind w:left="400"/>
      </w:pPr>
      <w:sdt>
        <w:sdtPr>
          <w:rPr>
            <w:rFonts w:ascii="MS Gothic" w:eastAsia="MS Gothic" w:hAnsi="MS Gothic" w:cs="Arial" w:hint="eastAsia"/>
          </w:rPr>
          <w:id w:val="10003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Fixer le prix de vente HT</w:t>
      </w:r>
    </w:p>
    <w:p>
      <w:pPr>
        <w:spacing w:after="40"/>
        <w:ind w:left="400"/>
      </w:pPr>
      <w:sdt>
        <w:sdtPr>
          <w:rPr>
            <w:rFonts w:ascii="MS Gothic" w:eastAsia="MS Gothic" w:hAnsi="MS Gothic" w:cs="Arial" w:hint="eastAsia"/>
          </w:rPr>
          <w:id w:val="10003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Calculer la TVA à reverser</w:t>
      </w:r>
    </w:p>
    <w:p>
      <w:pPr>
        <w:spacing w:after="80" w:before="160"/>
      </w:pPr>
      <w:r>
        <w:rPr>
          <w:rFonts w:ascii="Calibri" w:cs="Calibri" w:eastAsia="Calibri" w:hAnsi="Calibri"/>
          <w:b/>
          <w:bCs/>
          <w:color w:val="6E1F14"/>
          <w:sz w:val="22"/>
          <w:szCs w:val="22"/>
        </w:rPr>
        <w:t xml:space="preserve">Question 5. </w:t>
      </w:r>
      <w:r>
        <w:rPr>
          <w:rFonts w:ascii="Calibri" w:cs="Calibri" w:eastAsia="Calibri" w:hAnsi="Calibri"/>
          <w:b w:val="false"/>
          <w:bCs w:val="false"/>
          <w:i w:val="false"/>
          <w:iCs w:val="false"/>
          <w:color w:val="1A1A1A"/>
          <w:sz w:val="22"/>
          <w:szCs w:val="22"/>
        </w:rPr>
        <w:t xml:space="preserve">Lors de l'établissement d'un prévisionnel, les 'hypothèses basses' (pessimistes) servent à :</w:t>
      </w:r>
    </w:p>
    <w:p>
      <w:pPr>
        <w:spacing w:after="40"/>
        <w:ind w:left="400"/>
      </w:pPr>
      <w:sdt>
        <w:sdtPr>
          <w:rPr>
            <w:rFonts w:ascii="MS Gothic" w:eastAsia="MS Gothic" w:hAnsi="MS Gothic" w:cs="Arial" w:hint="eastAsia"/>
          </w:rPr>
          <w:id w:val="10003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Rassurer les banquiers</w:t>
      </w:r>
    </w:p>
    <w:p>
      <w:pPr>
        <w:spacing w:after="40"/>
        <w:ind w:left="400"/>
      </w:pPr>
      <w:sdt>
        <w:sdtPr>
          <w:rPr>
            <w:rFonts w:ascii="MS Gothic" w:eastAsia="MS Gothic" w:hAnsi="MS Gothic" w:cs="Arial" w:hint="eastAsia"/>
          </w:rPr>
          <w:id w:val="10003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Tester la résistance du projet si les résultats sont inférieurs aux prévisions</w:t>
      </w:r>
    </w:p>
    <w:p>
      <w:pPr>
        <w:spacing w:after="40"/>
        <w:ind w:left="400"/>
      </w:pPr>
      <w:sdt>
        <w:sdtPr>
          <w:rPr>
            <w:rFonts w:ascii="MS Gothic" w:eastAsia="MS Gothic" w:hAnsi="MS Gothic" w:cs="Arial" w:hint="eastAsia"/>
          </w:rPr>
          <w:id w:val="10003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Réduire les impôts prévisionnels</w:t>
      </w:r>
    </w:p>
    <w:p>
      <w:pPr>
        <w:spacing w:after="40"/>
        <w:ind w:left="400"/>
      </w:pPr>
      <w:sdt>
        <w:sdtPr>
          <w:rPr>
            <w:rFonts w:ascii="MS Gothic" w:eastAsia="MS Gothic" w:hAnsi="MS Gothic" w:cs="Arial" w:hint="eastAsia"/>
          </w:rPr>
          <w:id w:val="10004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Gonfler artificiellement les résultats</w:t>
      </w:r>
    </w:p>
    <w:p>
      <w:pPr>
        <w:pStyle w:val="Heading2"/>
        <w:spacing w:after="160" w:before="240"/>
      </w:pPr>
      <w:r>
        <w:rPr>
          <w:rFonts w:ascii="Calibri" w:cs="Calibri" w:eastAsia="Calibri" w:hAnsi="Calibri"/>
          <w:b/>
          <w:bCs/>
          <w:color w:val="A8442B"/>
          <w:sz w:val="26"/>
          <w:szCs w:val="26"/>
        </w:rPr>
        <w:t xml:space="preserve">PARTIE 2 — Questions ouvertes (5 points chacune)</w:t>
      </w:r>
    </w:p>
    <w:p>
      <w:pPr>
        <w:spacing w:after="100" w:before="160"/>
      </w:pPr>
      <w:r>
        <w:rPr>
          <w:rFonts w:ascii="Calibri" w:cs="Calibri" w:eastAsia="Calibri" w:hAnsi="Calibri"/>
          <w:b/>
          <w:bCs/>
          <w:color w:val="6E1F14"/>
          <w:sz w:val="22"/>
          <w:szCs w:val="22"/>
        </w:rPr>
        <w:t xml:space="preserve">Question 1 : </w:t>
      </w:r>
      <w:r>
        <w:rPr>
          <w:rFonts w:ascii="Calibri" w:cs="Calibri" w:eastAsia="Calibri" w:hAnsi="Calibri"/>
          <w:b w:val="false"/>
          <w:bCs w:val="false"/>
          <w:i w:val="false"/>
          <w:iCs w:val="false"/>
          <w:color w:val="1A1A1A"/>
          <w:sz w:val="22"/>
          <w:szCs w:val="22"/>
        </w:rPr>
        <w:t xml:space="preserve">Construisez un prévisionnel de trésorerie simplifié pour les 3 prochains mois (janvier, février, mars) pour votre activité.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pPr>
        <w:spacing w:after="160"/>
      </w:pPr>
    </w:p>
    <w:p>
      <w:pPr>
        <w:spacing w:after="100" w:before="160"/>
      </w:pPr>
      <w:r>
        <w:rPr>
          <w:rFonts w:ascii="Calibri" w:cs="Calibri" w:eastAsia="Calibri" w:hAnsi="Calibri"/>
          <w:b/>
          <w:bCs/>
          <w:color w:val="6E1F14"/>
          <w:sz w:val="22"/>
          <w:szCs w:val="22"/>
        </w:rPr>
        <w:t xml:space="preserve">Question 2 : </w:t>
      </w:r>
      <w:r>
        <w:rPr>
          <w:rFonts w:ascii="Calibri" w:cs="Calibri" w:eastAsia="Calibri" w:hAnsi="Calibri"/>
          <w:b w:val="false"/>
          <w:bCs w:val="false"/>
          <w:i w:val="false"/>
          <w:iCs w:val="false"/>
          <w:color w:val="1A1A1A"/>
          <w:sz w:val="22"/>
          <w:szCs w:val="22"/>
        </w:rPr>
        <w:t xml:space="preserve">Qu'est-ce que l'effet ciseau en gestion d'entreprise et donnez un exemple dans votre secteur.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pPr>
        <w:spacing w:after="160"/>
      </w:pPr>
    </w:p>
    <w:p>
      <w:pPr>
        <w:pStyle w:val="Heading2"/>
        <w:spacing w:after="160" w:before="240"/>
      </w:pPr>
      <w:r>
        <w:rPr>
          <w:rFonts w:ascii="Calibri" w:cs="Calibri" w:eastAsia="Calibri" w:hAnsi="Calibri"/>
          <w:b/>
          <w:bCs/>
          <w:color w:val="A8442B"/>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442B" w:sz="4"/>
              <w:left w:val="single" w:color="A8442B" w:sz="4"/>
              <w:bottom w:val="single" w:color="A8442B" w:sz="4"/>
              <w:right w:val="single" w:color="A8442B" w:sz="4"/>
            </w:tcBorders>
            <w:shd w:fill="FBEEE9" w:color="auto" w:val="clear"/>
            <w:tcMar>
              <w:top w:type="dxa" w:w="150"/>
              <w:left w:type="dxa" w:w="200"/>
              <w:bottom w:type="dxa" w:w="150"/>
              <w:right w:type="dxa" w:w="200"/>
            </w:tcMar>
          </w:tcPr>
          <w:p>
            <w:r>
              <w:rPr>
                <w:rFonts w:ascii="Calibri" w:cs="Calibri" w:eastAsia="Calibri" w:hAnsi="Calibri"/>
                <w:b/>
                <w:bCs/>
                <w:color w:val="A8442B"/>
                <w:sz w:val="21"/>
                <w:szCs w:val="21"/>
              </w:rPr>
              <w:t xml:space="preserve">Scénario — </w:t>
            </w:r>
          </w:p>
          <w:p>
            <w:pPr>
              <w:spacing w:before="60"/>
            </w:pPr>
            <w:r>
              <w:rPr>
                <w:rFonts w:ascii="Calibri" w:cs="Calibri" w:eastAsia="Calibri" w:hAnsi="Calibri"/>
                <w:b w:val="false"/>
                <w:bCs w:val="false"/>
                <w:i/>
                <w:iCs/>
                <w:color w:val="1A1A1A"/>
                <w:sz w:val="21"/>
                <w:szCs w:val="21"/>
              </w:rPr>
              <w:t xml:space="preserve">Vous souhaitez évaluer si vous pouvez prendre 3 semaines de vacances en août sans mettre votre trésorerie en danger. Données : Solde banque au 1er août = 22 000 €. Charges fixes août = 4 200 €. CA attendu (1 semaine active avant départ) = 3 500 €. Factures clients à encaisser = 6 800 €.</w:t>
            </w:r>
          </w:p>
        </w:tc>
      </w:tr>
    </w:tbl>
    <w:p>
      <w:pPr>
        <w:spacing w:after="140"/>
      </w:pPr>
    </w:p>
    <w:p>
      <w:pPr>
        <w:spacing w:after="120"/>
      </w:pPr>
      <w:r>
        <w:rPr>
          <w:rFonts w:ascii="Calibri" w:cs="Calibri" w:eastAsia="Calibri" w:hAnsi="Calibri"/>
          <w:b/>
          <w:bCs/>
          <w:color w:val="6E1F14"/>
          <w:sz w:val="22"/>
          <w:szCs w:val="22"/>
        </w:rPr>
        <w:t xml:space="preserve">Mission : </w:t>
      </w:r>
      <w:r>
        <w:rPr>
          <w:rFonts w:ascii="Calibri" w:cs="Calibri" w:eastAsia="Calibri" w:hAnsi="Calibri"/>
          <w:b w:val="false"/>
          <w:bCs w:val="false"/>
          <w:i w:val="false"/>
          <w:iCs w:val="false"/>
          <w:color w:val="1A1A1A"/>
          <w:sz w:val="22"/>
          <w:szCs w:val="22"/>
        </w:rPr>
        <w:t xml:space="preserve">Calculez le solde prévisionnel au 31 août et évaluez si les vacances sont financièrement viables.</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r>
              <w:t xml:space="preserve">Le montant des capitaux propres est calculé par la formule : Capitaux Propres = Actif Total - Dettes (Fournisseurs + Emprunts). Soit : 96 000 € - (11 000 € + 27 000 €) = 58 000 €. Ce résultat indique une excellente solidité financière : l'entreprise finance plus de 60% de ses actifs par ses fonds propres, ce qui garantit une forte autonomie financière vis-à-vis des tiers.</w:t>
            </w:r>
          </w:p>
          <w:p>
            <w:pPr>
              <w:spacing w:after="220"/>
            </w:pPr>
            <w:r>
              <w:rPr>
                <w:sz w:val="22"/>
                <w:szCs w:val="22"/>
              </w:rPr>
              <w:t xml:space="preserve"/>
            </w:r>
            <w:r>
              <w:t xml:space="preserve">Calculs de TVA pour février : 
1) TVA collectée (ventes) : 14 800 € * 10% = 1 480 €. 
2) TVA déductible (achats) : (2 600 € + 950 € + 310 €) * 20% = 3 860 € * 20% = 772 €. 
3) TVA à reverser à l'État : TVA Collectée - TVA Déductible = 1 480 € - 772 € = 708 €. L'entreprise devra donc déclarer et télétransmettre un montant net de 708 € de TVA pour le mois de février.</w:t>
            </w:r>
          </w:p>
          <w:p>
            <w:pPr>
              <w:spacing w:after="220"/>
            </w:pPr>
            <w:r>
              <w:rPr>
                <w:sz w:val="22"/>
                <w:szCs w:val="22"/>
              </w:rPr>
              <w:t xml:space="preserve"/>
            </w:r>
            <w:r>
              <w:t xml:space="preserve">L'achat du véhicule (amorti sur 5 ans soit 3 300 €/an) et le coût de l'alternant (8 640 €/an) augmentent les charges fixes de 11 940 €/an. Le taux de marge actuel est de 25% (43 000 € de résultat / 172 000 € de CA). Pour autofinancer cet investissement sans dégrader le résultat de l'entreprise, un chiffre d'affaires supplémentaire de 47 760 € par an est nécessaire (calcul : 11 940 € / 25% de marge).</w:t>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r>
        <w:br w:type="page"/>
      </w:r>
    </w:p>
    <w:p>
      <w:pPr>
        <w:pStyle w:val="Heading1"/>
        <w:spacing w:after="60" w:before="200"/>
      </w:pPr>
      <w:r>
        <w:rPr>
          <w:rFonts w:ascii="Calibri" w:cs="Calibri" w:eastAsia="Calibri" w:hAnsi="Calibri"/>
          <w:b/>
          <w:bCs/>
          <w:color w:val="6E1F14"/>
          <w:sz w:val="32"/>
          <w:szCs w:val="32"/>
        </w:rPr>
        <w:t xml:space="preserve">Module 3 — Pilotage Prévisionnel</w:t>
      </w:r>
    </w:p>
    <w:p>
      <w:pPr>
        <w:spacing w:after="160"/>
      </w:pPr>
      <w:r>
        <w:rPr>
          <w:rFonts w:ascii="Calibri" w:cs="Calibri" w:eastAsia="Calibri" w:hAnsi="Calibri"/>
          <w:i/>
          <w:iCs/>
          <w:color w:val="6B7280"/>
          <w:sz w:val="20"/>
          <w:szCs w:val="20"/>
        </w:rPr>
        <w:t xml:space="preserve">Fonds de roulement, ratios, flux de trésorerie, effet ciseau — Évaluation finale</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______________________________</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finale</w:t>
            </w:r>
          </w:p>
        </w:tc>
      </w:tr>
    </w:tbl>
    <w:p>
      <w:pPr>
        <w:spacing w:after="200"/>
      </w:pPr>
    </w:p>
    <w:p>
      <w:pPr>
        <w:pStyle w:val="Heading2"/>
        <w:spacing w:after="160" w:before="240"/>
      </w:pPr>
      <w:r>
        <w:rPr>
          <w:rFonts w:ascii="Calibri" w:cs="Calibri" w:eastAsia="Calibri" w:hAnsi="Calibri"/>
          <w:b/>
          <w:bCs/>
          <w:color w:val="A8442B"/>
          <w:sz w:val="26"/>
          <w:szCs w:val="26"/>
        </w:rPr>
        <w:t xml:space="preserve">PARTIE 1 — QCM (1 point par question)</w:t>
      </w:r>
    </w:p>
    <w:p>
      <w:pPr>
        <w:spacing w:after="80" w:before="160"/>
      </w:pPr>
      <w:r>
        <w:rPr>
          <w:rFonts w:ascii="Calibri" w:cs="Calibri" w:eastAsia="Calibri" w:hAnsi="Calibri"/>
          <w:b/>
          <w:bCs/>
          <w:color w:val="6E1F14"/>
          <w:sz w:val="22"/>
          <w:szCs w:val="22"/>
        </w:rPr>
        <w:t xml:space="preserve">Question 1. </w:t>
      </w:r>
      <w:r>
        <w:rPr>
          <w:rFonts w:ascii="Calibri" w:cs="Calibri" w:eastAsia="Calibri" w:hAnsi="Calibri"/>
          <w:b w:val="false"/>
          <w:bCs w:val="false"/>
          <w:i w:val="false"/>
          <w:iCs w:val="false"/>
          <w:color w:val="1A1A1A"/>
          <w:sz w:val="22"/>
          <w:szCs w:val="22"/>
        </w:rPr>
        <w:t xml:space="preserve">Le 'fonds de roulement' (FR) d'une entreprise se calcule par :</w:t>
      </w:r>
    </w:p>
    <w:p>
      <w:pPr>
        <w:spacing w:after="40"/>
        <w:ind w:left="400"/>
      </w:pPr>
      <w:sdt>
        <w:sdtPr>
          <w:rPr>
            <w:rFonts w:ascii="MS Gothic" w:eastAsia="MS Gothic" w:hAnsi="MS Gothic" w:cs="Arial" w:hint="eastAsia"/>
          </w:rPr>
          <w:id w:val="10004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CA - Charges variables</w:t>
      </w:r>
    </w:p>
    <w:p>
      <w:pPr>
        <w:spacing w:after="40"/>
        <w:ind w:left="400"/>
      </w:pPr>
      <w:sdt>
        <w:sdtPr>
          <w:rPr>
            <w:rFonts w:ascii="MS Gothic" w:eastAsia="MS Gothic" w:hAnsi="MS Gothic" w:cs="Arial" w:hint="eastAsia"/>
          </w:rPr>
          <w:id w:val="10004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Capitaux permanents - Actif immobilisé</w:t>
      </w:r>
    </w:p>
    <w:p>
      <w:pPr>
        <w:spacing w:after="40"/>
        <w:ind w:left="400"/>
      </w:pPr>
      <w:sdt>
        <w:sdtPr>
          <w:rPr>
            <w:rFonts w:ascii="MS Gothic" w:eastAsia="MS Gothic" w:hAnsi="MS Gothic" w:cs="Arial" w:hint="eastAsia"/>
          </w:rPr>
          <w:id w:val="10004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Actif circulant / Dettes à court terme</w:t>
      </w:r>
    </w:p>
    <w:p>
      <w:pPr>
        <w:spacing w:after="40"/>
        <w:ind w:left="400"/>
      </w:pPr>
      <w:sdt>
        <w:sdtPr>
          <w:rPr>
            <w:rFonts w:ascii="MS Gothic" w:eastAsia="MS Gothic" w:hAnsi="MS Gothic" w:cs="Arial" w:hint="eastAsia"/>
          </w:rPr>
          <w:id w:val="10004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Bénéfice net / Capitaux propres</w:t>
      </w:r>
    </w:p>
    <w:p>
      <w:pPr>
        <w:spacing w:after="80" w:before="160"/>
      </w:pPr>
      <w:r>
        <w:rPr>
          <w:rFonts w:ascii="Calibri" w:cs="Calibri" w:eastAsia="Calibri" w:hAnsi="Calibri"/>
          <w:b/>
          <w:bCs/>
          <w:color w:val="6E1F14"/>
          <w:sz w:val="22"/>
          <w:szCs w:val="22"/>
        </w:rPr>
        <w:t xml:space="preserve">Question 2. </w:t>
      </w:r>
      <w:r>
        <w:rPr>
          <w:rFonts w:ascii="Calibri" w:cs="Calibri" w:eastAsia="Calibri" w:hAnsi="Calibri"/>
          <w:b w:val="false"/>
          <w:bCs w:val="false"/>
          <w:i w:val="false"/>
          <w:iCs w:val="false"/>
          <w:color w:val="1A1A1A"/>
          <w:sz w:val="22"/>
          <w:szCs w:val="22"/>
        </w:rPr>
        <w:t xml:space="preserve">Un ratio de liquidité générale supérieur à 1 signifie :</w:t>
      </w:r>
    </w:p>
    <w:p>
      <w:pPr>
        <w:spacing w:after="40"/>
        <w:ind w:left="400"/>
      </w:pPr>
      <w:sdt>
        <w:sdtPr>
          <w:rPr>
            <w:rFonts w:ascii="MS Gothic" w:eastAsia="MS Gothic" w:hAnsi="MS Gothic" w:cs="Arial" w:hint="eastAsia"/>
          </w:rPr>
          <w:id w:val="10004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L'entreprise est en difficulté</w:t>
      </w:r>
    </w:p>
    <w:p>
      <w:pPr>
        <w:spacing w:after="40"/>
        <w:ind w:left="400"/>
      </w:pPr>
      <w:sdt>
        <w:sdtPr>
          <w:rPr>
            <w:rFonts w:ascii="MS Gothic" w:eastAsia="MS Gothic" w:hAnsi="MS Gothic" w:cs="Arial" w:hint="eastAsia"/>
          </w:rPr>
          <w:id w:val="10004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L'entreprise peut honorer ses dettes à court terme avec ses actifs circulants</w:t>
      </w:r>
    </w:p>
    <w:p>
      <w:pPr>
        <w:spacing w:after="40"/>
        <w:ind w:left="400"/>
      </w:pPr>
      <w:sdt>
        <w:sdtPr>
          <w:rPr>
            <w:rFonts w:ascii="MS Gothic" w:eastAsia="MS Gothic" w:hAnsi="MS Gothic" w:cs="Arial" w:hint="eastAsia"/>
          </w:rPr>
          <w:id w:val="10004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L'entreprise est surendettée</w:t>
      </w:r>
    </w:p>
    <w:p>
      <w:pPr>
        <w:spacing w:after="40"/>
        <w:ind w:left="400"/>
      </w:pPr>
      <w:sdt>
        <w:sdtPr>
          <w:rPr>
            <w:rFonts w:ascii="MS Gothic" w:eastAsia="MS Gothic" w:hAnsi="MS Gothic" w:cs="Arial" w:hint="eastAsia"/>
          </w:rPr>
          <w:id w:val="10004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Le CA est supérieur aux charges</w:t>
      </w:r>
    </w:p>
    <w:p>
      <w:pPr>
        <w:spacing w:after="80" w:before="160"/>
      </w:pPr>
      <w:r>
        <w:rPr>
          <w:rFonts w:ascii="Calibri" w:cs="Calibri" w:eastAsia="Calibri" w:hAnsi="Calibri"/>
          <w:b/>
          <w:bCs/>
          <w:color w:val="6E1F14"/>
          <w:sz w:val="22"/>
          <w:szCs w:val="22"/>
        </w:rPr>
        <w:t xml:space="preserve">Question 3. </w:t>
      </w:r>
      <w:r>
        <w:rPr>
          <w:rFonts w:ascii="Calibri" w:cs="Calibri" w:eastAsia="Calibri" w:hAnsi="Calibri"/>
          <w:b w:val="false"/>
          <w:bCs w:val="false"/>
          <w:i w:val="false"/>
          <w:iCs w:val="false"/>
          <w:color w:val="1A1A1A"/>
          <w:sz w:val="22"/>
          <w:szCs w:val="22"/>
        </w:rPr>
        <w:t xml:space="preserve">Dans un prévisionnel de trésorerie, un solde mensuel négatif indique :</w:t>
      </w:r>
    </w:p>
    <w:p>
      <w:pPr>
        <w:spacing w:after="40"/>
        <w:ind w:left="400"/>
      </w:pPr>
      <w:sdt>
        <w:sdtPr>
          <w:rPr>
            <w:rFonts w:ascii="MS Gothic" w:eastAsia="MS Gothic" w:hAnsi="MS Gothic" w:cs="Arial" w:hint="eastAsia"/>
          </w:rPr>
          <w:id w:val="10004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Une perte d'exploitation ce mois</w:t>
      </w:r>
    </w:p>
    <w:p>
      <w:pPr>
        <w:spacing w:after="40"/>
        <w:ind w:left="400"/>
      </w:pPr>
      <w:sdt>
        <w:sdtPr>
          <w:rPr>
            <w:rFonts w:ascii="MS Gothic" w:eastAsia="MS Gothic" w:hAnsi="MS Gothic" w:cs="Arial" w:hint="eastAsia"/>
          </w:rPr>
          <w:id w:val="10005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Un mois où les sorties d'argent dépassent les entrées (tension de trésorerie)</w:t>
      </w:r>
    </w:p>
    <w:p>
      <w:pPr>
        <w:spacing w:after="40"/>
        <w:ind w:left="400"/>
      </w:pPr>
      <w:sdt>
        <w:sdtPr>
          <w:rPr>
            <w:rFonts w:ascii="MS Gothic" w:eastAsia="MS Gothic" w:hAnsi="MS Gothic" w:cs="Arial" w:hint="eastAsia"/>
          </w:rPr>
          <w:id w:val="10005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Une fraude fiscale</w:t>
      </w:r>
    </w:p>
    <w:p>
      <w:pPr>
        <w:spacing w:after="40"/>
        <w:ind w:left="400"/>
      </w:pPr>
      <w:sdt>
        <w:sdtPr>
          <w:rPr>
            <w:rFonts w:ascii="MS Gothic" w:eastAsia="MS Gothic" w:hAnsi="MS Gothic" w:cs="Arial" w:hint="eastAsia"/>
          </w:rPr>
          <w:id w:val="10005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Une erreur de calcul</w:t>
      </w:r>
    </w:p>
    <w:p>
      <w:pPr>
        <w:spacing w:after="80" w:before="160"/>
      </w:pPr>
      <w:r>
        <w:rPr>
          <w:rFonts w:ascii="Calibri" w:cs="Calibri" w:eastAsia="Calibri" w:hAnsi="Calibri"/>
          <w:b/>
          <w:bCs/>
          <w:color w:val="6E1F14"/>
          <w:sz w:val="22"/>
          <w:szCs w:val="22"/>
        </w:rPr>
        <w:t xml:space="preserve">Question 4. </w:t>
      </w:r>
      <w:r>
        <w:rPr>
          <w:rFonts w:ascii="Calibri" w:cs="Calibri" w:eastAsia="Calibri" w:hAnsi="Calibri"/>
          <w:b w:val="false"/>
          <w:bCs w:val="false"/>
          <w:i w:val="false"/>
          <w:iCs w:val="false"/>
          <w:color w:val="1A1A1A"/>
          <w:sz w:val="22"/>
          <w:szCs w:val="22"/>
        </w:rPr>
        <w:t xml:space="preserve">La 'marge sur coût variable' (MCV) est utilisée pour :</w:t>
      </w:r>
    </w:p>
    <w:p>
      <w:pPr>
        <w:spacing w:after="40"/>
        <w:ind w:left="400"/>
      </w:pPr>
      <w:sdt>
        <w:sdtPr>
          <w:rPr>
            <w:rFonts w:ascii="MS Gothic" w:eastAsia="MS Gothic" w:hAnsi="MS Gothic" w:cs="Arial" w:hint="eastAsia"/>
          </w:rPr>
          <w:id w:val="10005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Calculer le bénéfice brut</w:t>
      </w:r>
    </w:p>
    <w:p>
      <w:pPr>
        <w:spacing w:after="40"/>
        <w:ind w:left="400"/>
      </w:pPr>
      <w:sdt>
        <w:sdtPr>
          <w:rPr>
            <w:rFonts w:ascii="MS Gothic" w:eastAsia="MS Gothic" w:hAnsi="MS Gothic" w:cs="Arial" w:hint="eastAsia"/>
          </w:rPr>
          <w:id w:val="10005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Calculer la contribution de chaque vente à la couverture des charges fixes</w:t>
      </w:r>
    </w:p>
    <w:p>
      <w:pPr>
        <w:spacing w:after="40"/>
        <w:ind w:left="400"/>
      </w:pPr>
      <w:sdt>
        <w:sdtPr>
          <w:rPr>
            <w:rFonts w:ascii="MS Gothic" w:eastAsia="MS Gothic" w:hAnsi="MS Gothic" w:cs="Arial" w:hint="eastAsia"/>
          </w:rPr>
          <w:id w:val="10005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Fixer le prix de vente HT</w:t>
      </w:r>
    </w:p>
    <w:p>
      <w:pPr>
        <w:spacing w:after="40"/>
        <w:ind w:left="400"/>
      </w:pPr>
      <w:sdt>
        <w:sdtPr>
          <w:rPr>
            <w:rFonts w:ascii="MS Gothic" w:eastAsia="MS Gothic" w:hAnsi="MS Gothic" w:cs="Arial" w:hint="eastAsia"/>
          </w:rPr>
          <w:id w:val="10005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Calculer la TVA à reverser</w:t>
      </w:r>
    </w:p>
    <w:p>
      <w:pPr>
        <w:spacing w:after="80" w:before="160"/>
      </w:pPr>
      <w:r>
        <w:rPr>
          <w:rFonts w:ascii="Calibri" w:cs="Calibri" w:eastAsia="Calibri" w:hAnsi="Calibri"/>
          <w:b/>
          <w:bCs/>
          <w:color w:val="6E1F14"/>
          <w:sz w:val="22"/>
          <w:szCs w:val="22"/>
        </w:rPr>
        <w:t xml:space="preserve">Question 5. </w:t>
      </w:r>
      <w:r>
        <w:rPr>
          <w:rFonts w:ascii="Calibri" w:cs="Calibri" w:eastAsia="Calibri" w:hAnsi="Calibri"/>
          <w:b w:val="false"/>
          <w:bCs w:val="false"/>
          <w:i w:val="false"/>
          <w:iCs w:val="false"/>
          <w:color w:val="1A1A1A"/>
          <w:sz w:val="22"/>
          <w:szCs w:val="22"/>
        </w:rPr>
        <w:t xml:space="preserve">Lors de l'établissement d'un prévisionnel, les 'hypothèses basses' (pessimistes) servent à :</w:t>
      </w:r>
    </w:p>
    <w:p>
      <w:pPr>
        <w:spacing w:after="40"/>
        <w:ind w:left="400"/>
      </w:pPr>
      <w:sdt>
        <w:sdtPr>
          <w:rPr>
            <w:rFonts w:ascii="MS Gothic" w:eastAsia="MS Gothic" w:hAnsi="MS Gothic" w:cs="Arial" w:hint="eastAsia"/>
          </w:rPr>
          <w:id w:val="10005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Rassurer les banquiers</w:t>
      </w:r>
    </w:p>
    <w:p>
      <w:pPr>
        <w:spacing w:after="40"/>
        <w:ind w:left="400"/>
      </w:pPr>
      <w:sdt>
        <w:sdtPr>
          <w:rPr>
            <w:rFonts w:ascii="MS Gothic" w:eastAsia="MS Gothic" w:hAnsi="MS Gothic" w:cs="Arial" w:hint="eastAsia"/>
          </w:rPr>
          <w:id w:val="10005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Tester la résistance du projet si les résultats sont inférieurs aux prévisions</w:t>
      </w:r>
    </w:p>
    <w:p>
      <w:pPr>
        <w:spacing w:after="40"/>
        <w:ind w:left="400"/>
      </w:pPr>
      <w:sdt>
        <w:sdtPr>
          <w:rPr>
            <w:rFonts w:ascii="MS Gothic" w:eastAsia="MS Gothic" w:hAnsi="MS Gothic" w:cs="Arial" w:hint="eastAsia"/>
          </w:rPr>
          <w:id w:val="10005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Réduire les impôts prévisionnels</w:t>
      </w:r>
    </w:p>
    <w:p>
      <w:pPr>
        <w:spacing w:after="40"/>
        <w:ind w:left="400"/>
      </w:pPr>
      <w:sdt>
        <w:sdtPr>
          <w:rPr>
            <w:rFonts w:ascii="MS Gothic" w:eastAsia="MS Gothic" w:hAnsi="MS Gothic" w:cs="Arial" w:hint="eastAsia"/>
          </w:rPr>
          <w:id w:val="10006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Gonfler artificiellement les résultats</w:t>
      </w:r>
    </w:p>
    <w:p>
      <w:pPr>
        <w:pStyle w:val="Heading2"/>
        <w:spacing w:after="160" w:before="240"/>
      </w:pPr>
      <w:r>
        <w:rPr>
          <w:rFonts w:ascii="Calibri" w:cs="Calibri" w:eastAsia="Calibri" w:hAnsi="Calibri"/>
          <w:b/>
          <w:bCs/>
          <w:color w:val="A8442B"/>
          <w:sz w:val="26"/>
          <w:szCs w:val="26"/>
        </w:rPr>
        <w:t xml:space="preserve">PARTIE 2 — Questions ouvertes (5 points chacune)</w:t>
      </w:r>
    </w:p>
    <w:p>
      <w:pPr>
        <w:spacing w:after="100" w:before="160"/>
      </w:pPr>
      <w:r>
        <w:rPr>
          <w:rFonts w:ascii="Calibri" w:cs="Calibri" w:eastAsia="Calibri" w:hAnsi="Calibri"/>
          <w:b/>
          <w:bCs/>
          <w:color w:val="6E1F14"/>
          <w:sz w:val="22"/>
          <w:szCs w:val="22"/>
        </w:rPr>
        <w:t xml:space="preserve">Question 1 : </w:t>
      </w:r>
      <w:r>
        <w:rPr>
          <w:rFonts w:ascii="Calibri" w:cs="Calibri" w:eastAsia="Calibri" w:hAnsi="Calibri"/>
          <w:b w:val="false"/>
          <w:bCs w:val="false"/>
          <w:i w:val="false"/>
          <w:iCs w:val="false"/>
          <w:color w:val="1A1A1A"/>
          <w:sz w:val="22"/>
          <w:szCs w:val="22"/>
        </w:rPr>
        <w:t xml:space="preserve">Construisez un tableau de bord complet pour votre activité avec 6 KPIs choisis et expliquez comment vous les calculez.</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pPr>
        <w:spacing w:after="160"/>
      </w:pPr>
    </w:p>
    <w:p>
      <w:pPr>
        <w:spacing w:after="100" w:before="160"/>
      </w:pPr>
      <w:r>
        <w:rPr>
          <w:rFonts w:ascii="Calibri" w:cs="Calibri" w:eastAsia="Calibri" w:hAnsi="Calibri"/>
          <w:b/>
          <w:bCs/>
          <w:color w:val="6E1F14"/>
          <w:sz w:val="22"/>
          <w:szCs w:val="22"/>
        </w:rPr>
        <w:t xml:space="preserve">Question 2 : </w:t>
      </w:r>
      <w:r>
        <w:rPr>
          <w:rFonts w:ascii="Calibri" w:cs="Calibri" w:eastAsia="Calibri" w:hAnsi="Calibri"/>
          <w:b w:val="false"/>
          <w:bCs w:val="false"/>
          <w:i w:val="false"/>
          <w:iCs w:val="false"/>
          <w:color w:val="1A1A1A"/>
          <w:sz w:val="22"/>
          <w:szCs w:val="22"/>
        </w:rPr>
        <w:t xml:space="preserve">Comment interpréteriez-vous un taux de marge nette de 8% pour une TPE artisanale ? Est-ce satisfaisant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pPr>
        <w:spacing w:after="160"/>
      </w:pPr>
    </w:p>
    <w:p>
      <w:pPr>
        <w:pStyle w:val="Heading2"/>
        <w:spacing w:after="160" w:before="240"/>
      </w:pPr>
      <w:r>
        <w:rPr>
          <w:rFonts w:ascii="Calibri" w:cs="Calibri" w:eastAsia="Calibri" w:hAnsi="Calibri"/>
          <w:b/>
          <w:bCs/>
          <w:color w:val="A8442B"/>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442B" w:sz="4"/>
              <w:left w:val="single" w:color="A8442B" w:sz="4"/>
              <w:bottom w:val="single" w:color="A8442B" w:sz="4"/>
              <w:right w:val="single" w:color="A8442B" w:sz="4"/>
            </w:tcBorders>
            <w:shd w:fill="FBEEE9" w:color="auto" w:val="clear"/>
            <w:tcMar>
              <w:top w:type="dxa" w:w="150"/>
              <w:left w:type="dxa" w:w="200"/>
              <w:bottom w:type="dxa" w:w="150"/>
              <w:right w:type="dxa" w:w="200"/>
            </w:tcMar>
          </w:tcPr>
          <w:p>
            <w:r>
              <w:rPr>
                <w:rFonts w:ascii="Calibri" w:cs="Calibri" w:eastAsia="Calibri" w:hAnsi="Calibri"/>
                <w:b/>
                <w:bCs/>
                <w:color w:val="A8442B"/>
                <w:sz w:val="21"/>
                <w:szCs w:val="21"/>
              </w:rPr>
              <w:t xml:space="preserve">Scénario — </w:t>
            </w:r>
          </w:p>
          <w:p>
            <w:pPr>
              <w:spacing w:before="60"/>
            </w:pPr>
            <w:r>
              <w:rPr>
                <w:rFonts w:ascii="Calibri" w:cs="Calibri" w:eastAsia="Calibri" w:hAnsi="Calibri"/>
                <w:b w:val="false"/>
                <w:bCs w:val="false"/>
                <w:i/>
                <w:iCs/>
                <w:color w:val="1A1A1A"/>
                <w:sz w:val="21"/>
                <w:szCs w:val="21"/>
              </w:rPr>
              <w:t xml:space="preserve">Votre expert-comptable vous remet votre bilan annuel. Données clés : CA = 195 000 € | Résultat net = 38 000 € | Capitaux propres = 62 000 € | Créances clients = 18 500 € | Dettes fournisseurs = 6 200 € | Stocks = 4 800 €.</w:t>
            </w:r>
          </w:p>
        </w:tc>
      </w:tr>
    </w:tbl>
    <w:p>
      <w:pPr>
        <w:spacing w:after="140"/>
      </w:pPr>
    </w:p>
    <w:p>
      <w:pPr>
        <w:spacing w:after="120"/>
      </w:pPr>
      <w:r>
        <w:rPr>
          <w:rFonts w:ascii="Calibri" w:cs="Calibri" w:eastAsia="Calibri" w:hAnsi="Calibri"/>
          <w:b/>
          <w:bCs/>
          <w:color w:val="6E1F14"/>
          <w:sz w:val="22"/>
          <w:szCs w:val="22"/>
        </w:rPr>
        <w:t xml:space="preserve">Mission : </w:t>
      </w:r>
      <w:r>
        <w:rPr>
          <w:rFonts w:ascii="Calibri" w:cs="Calibri" w:eastAsia="Calibri" w:hAnsi="Calibri"/>
          <w:b w:val="false"/>
          <w:bCs w:val="false"/>
          <w:i w:val="false"/>
          <w:iCs w:val="false"/>
          <w:color w:val="1A1A1A"/>
          <w:sz w:val="22"/>
          <w:szCs w:val="22"/>
        </w:rPr>
        <w:t xml:space="preserve">Calculez 3 ratios clés (taux de marge nette, ROE, BFR) et interprétez votre situation financière.</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r>
              <w:t xml:space="preserve">Le résultat net mensuel s'élève à : 16 400 € (CA) - (6 100 € + 4 300 € + 3 800 €) = 2 200 €. La marge brute est de 6 000 € (CA - Fournitures - Main d'œuvre), soit un taux de marge brute de 36.58%. On constate un écart défavorable de -2 600 € sur le CA (-13.7% par rapport à l'objectif). Bien que le résultat reste positif, il convient de surveiller la baisse du chiffre d'affaires et d'agir commercialement.</w:t>
            </w:r>
          </w:p>
          <w:p>
            <w:pPr>
              <w:spacing w:after="220"/>
            </w:pPr>
            <w:r>
              <w:rPr>
                <w:sz w:val="22"/>
                <w:szCs w:val="22"/>
              </w:rPr>
              <w:t xml:space="preserve"/>
            </w:r>
          </w:p>
          <w:p>
            <w:pPr>
              <w:spacing w:after="220"/>
            </w:pPr>
            <w:r>
              <w:rPr>
                <w:sz w:val="22"/>
                <w:szCs w:val="22"/>
              </w:rPr>
              <w:t xml:space="preserve"/>
            </w:r>
            <w:r>
              <w:t xml:space="preserve">EI : Avantages (gestion très simple, coût de création nul), Inconvénient (responsabilité juridique illimitée sur le patrimoine personnel). SARL : Avantages (partage des risques à plusieurs associés, crédibilité bancaire), Inconvénient (formalités de gestion plus lourdes). SASU : Avantages (protection du patrimoine personnel, président assimilé-salarié), Inconvénient (charges sociales de 78% sur salaire brut). Choix recommandé : la SASU pour la protection du patrimoine.</w:t>
            </w:r>
          </w:p>
          <w:p>
            <w:pPr>
              <w:spacing w:after="220"/>
            </w:pPr>
            <w:r>
              <w:rPr>
                <w:sz w:val="22"/>
                <w:szCs w:val="22"/>
              </w:rPr>
              <w:t xml:space="preserve"/>
            </w:r>
            <w:r>
              <w:t xml:space="preserve">Pour régulariser la facture impayée de 1 980 € TTC : 1) Enregistrer immédiatement la facture d'achat dans le journal des achats (débit 607 pour le HT, débit 44566 pour la TVA, crédit 401 pour le TTC). 2) Effectuer le rapprochement avec le fournisseur. 3) Procéder au paiement par virement et enregistrer le flux bancaire.</w:t>
            </w:r>
          </w:p>
          <w:p>
            <w:pPr>
              <w:spacing w:after="220"/>
            </w:pPr>
            <w:r>
              <w:rPr>
                <w:sz w:val="22"/>
                <w:szCs w:val="22"/>
              </w:rPr>
              <w:t xml:space="preserve"/>
            </w:r>
            <w:r>
              <w:t xml:space="preserve">Solde banque initial (19 500 €) + Encaissements (2 800 € + 5 200 €) - Charges fixes (3 900 €) = 23 600 € au 31 juillet. La fermeture de 2 semaines en juillet est donc tout à fait réalisable financièrement, car la trésorerie reste largement positive avec une marge de sécurité confortable.</w:t>
            </w:r>
          </w:p>
          <w:p>
            <w:pPr>
              <w:spacing w:after="220"/>
            </w:pPr>
            <w:r>
              <w:rPr>
                <w:sz w:val="22"/>
                <w:szCs w:val="22"/>
              </w:rPr>
              <w:t xml:space="preserve"/>
            </w:r>
          </w:p>
        </w:tc>
      </w:tr>
    </w:tbl>
    <w:p>
      <w:r>
        <w:br w:type="page"/>
      </w:r>
    </w:p>
    <w:p>
      <w:pPr>
        <w:pStyle w:val="Heading1"/>
        <w:spacing w:after="60" w:before="200"/>
      </w:pPr>
      <w:r>
        <w:rPr>
          <w:rFonts w:ascii="Calibri" w:cs="Calibri" w:eastAsia="Calibri" w:hAnsi="Calibri"/>
          <w:b/>
          <w:bCs/>
          <w:color w:val="6E1F14"/>
          <w:sz w:val="32"/>
          <w:szCs w:val="32"/>
        </w:rPr>
        <w:t xml:space="preserve">Module 4 — Tableau de Bord et Contrôle de Gestion</w:t>
      </w:r>
    </w:p>
    <w:p>
      <w:pPr>
        <w:spacing w:after="160"/>
      </w:pPr>
      <w:r>
        <w:rPr>
          <w:rFonts w:ascii="Calibri" w:cs="Calibri" w:eastAsia="Calibri" w:hAnsi="Calibri"/>
          <w:i/>
          <w:iCs/>
          <w:color w:val="6B7280"/>
          <w:sz w:val="20"/>
          <w:szCs w:val="20"/>
        </w:rPr>
        <w:t xml:space="preserve">Rotation des stocks, ROE, valeur ajoutée, analyse annuelle — Évaluation finale</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______________________________</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finale</w:t>
            </w:r>
          </w:p>
        </w:tc>
      </w:tr>
    </w:tbl>
    <w:p>
      <w:pPr>
        <w:spacing w:after="200"/>
      </w:pPr>
    </w:p>
    <w:p>
      <w:pPr>
        <w:pStyle w:val="Heading2"/>
        <w:spacing w:after="160" w:before="240"/>
      </w:pPr>
      <w:r>
        <w:rPr>
          <w:rFonts w:ascii="Calibri" w:cs="Calibri" w:eastAsia="Calibri" w:hAnsi="Calibri"/>
          <w:b/>
          <w:bCs/>
          <w:color w:val="A8442B"/>
          <w:sz w:val="26"/>
          <w:szCs w:val="26"/>
        </w:rPr>
        <w:t xml:space="preserve">PARTIE 1 — QCM (1 point par question)</w:t>
      </w:r>
    </w:p>
    <w:p>
      <w:pPr>
        <w:spacing w:after="80" w:before="160"/>
      </w:pPr>
      <w:r>
        <w:rPr>
          <w:rFonts w:ascii="Calibri" w:cs="Calibri" w:eastAsia="Calibri" w:hAnsi="Calibri"/>
          <w:b/>
          <w:bCs/>
          <w:color w:val="6E1F14"/>
          <w:sz w:val="22"/>
          <w:szCs w:val="22"/>
        </w:rPr>
        <w:t xml:space="preserve">Question 1. </w:t>
      </w:r>
      <w:r>
        <w:rPr>
          <w:rFonts w:ascii="Calibri" w:cs="Calibri" w:eastAsia="Calibri" w:hAnsi="Calibri"/>
          <w:b w:val="false"/>
          <w:bCs w:val="false"/>
          <w:i w:val="false"/>
          <w:iCs w:val="false"/>
          <w:color w:val="1A1A1A"/>
          <w:sz w:val="22"/>
          <w:szCs w:val="22"/>
        </w:rPr>
        <w:t xml:space="preserve">Le 'taux de rotation des stocks' est particulièrement important pour un artisan car :</w:t>
      </w:r>
    </w:p>
    <w:p>
      <w:pPr>
        <w:spacing w:after="40"/>
        <w:ind w:left="400"/>
      </w:pPr>
      <w:sdt>
        <w:sdtPr>
          <w:rPr>
            <w:rFonts w:ascii="MS Gothic" w:eastAsia="MS Gothic" w:hAnsi="MS Gothic" w:cs="Arial" w:hint="eastAsia"/>
          </w:rPr>
          <w:id w:val="10006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Il détermine le taux de TVA applicable</w:t>
      </w:r>
    </w:p>
    <w:p>
      <w:pPr>
        <w:spacing w:after="40"/>
        <w:ind w:left="400"/>
      </w:pPr>
      <w:sdt>
        <w:sdtPr>
          <w:rPr>
            <w:rFonts w:ascii="MS Gothic" w:eastAsia="MS Gothic" w:hAnsi="MS Gothic" w:cs="Arial" w:hint="eastAsia"/>
          </w:rPr>
          <w:id w:val="10006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Un stock qui tourne lentement immobilise de la trésorerie inutilement</w:t>
      </w:r>
    </w:p>
    <w:p>
      <w:pPr>
        <w:spacing w:after="40"/>
        <w:ind w:left="400"/>
      </w:pPr>
      <w:sdt>
        <w:sdtPr>
          <w:rPr>
            <w:rFonts w:ascii="MS Gothic" w:eastAsia="MS Gothic" w:hAnsi="MS Gothic" w:cs="Arial" w:hint="eastAsia"/>
          </w:rPr>
          <w:id w:val="10006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Il fixe le prix de vente minimum</w:t>
      </w:r>
    </w:p>
    <w:p>
      <w:pPr>
        <w:spacing w:after="40"/>
        <w:ind w:left="400"/>
      </w:pPr>
      <w:sdt>
        <w:sdtPr>
          <w:rPr>
            <w:rFonts w:ascii="MS Gothic" w:eastAsia="MS Gothic" w:hAnsi="MS Gothic" w:cs="Arial" w:hint="eastAsia"/>
          </w:rPr>
          <w:id w:val="10006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Il détermine la fréquence des audits comptables</w:t>
      </w:r>
    </w:p>
    <w:p>
      <w:pPr>
        <w:spacing w:after="80" w:before="160"/>
      </w:pPr>
      <w:r>
        <w:rPr>
          <w:rFonts w:ascii="Calibri" w:cs="Calibri" w:eastAsia="Calibri" w:hAnsi="Calibri"/>
          <w:b/>
          <w:bCs/>
          <w:color w:val="6E1F14"/>
          <w:sz w:val="22"/>
          <w:szCs w:val="22"/>
        </w:rPr>
        <w:t xml:space="preserve">Question 2. </w:t>
      </w:r>
      <w:r>
        <w:rPr>
          <w:rFonts w:ascii="Calibri" w:cs="Calibri" w:eastAsia="Calibri" w:hAnsi="Calibri"/>
          <w:b w:val="false"/>
          <w:bCs w:val="false"/>
          <w:i w:val="false"/>
          <w:iCs w:val="false"/>
          <w:color w:val="1A1A1A"/>
          <w:sz w:val="22"/>
          <w:szCs w:val="22"/>
        </w:rPr>
        <w:t xml:space="preserve">La 'rentabilité des capitaux propres' (ROE) se calcule par :</w:t>
      </w:r>
    </w:p>
    <w:p>
      <w:pPr>
        <w:spacing w:after="40"/>
        <w:ind w:left="400"/>
      </w:pPr>
      <w:sdt>
        <w:sdtPr>
          <w:rPr>
            <w:rFonts w:ascii="MS Gothic" w:eastAsia="MS Gothic" w:hAnsi="MS Gothic" w:cs="Arial" w:hint="eastAsia"/>
          </w:rPr>
          <w:id w:val="10006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CA / Capitaux propres x 100</w:t>
      </w:r>
    </w:p>
    <w:p>
      <w:pPr>
        <w:spacing w:after="40"/>
        <w:ind w:left="400"/>
      </w:pPr>
      <w:sdt>
        <w:sdtPr>
          <w:rPr>
            <w:rFonts w:ascii="MS Gothic" w:eastAsia="MS Gothic" w:hAnsi="MS Gothic" w:cs="Arial" w:hint="eastAsia"/>
          </w:rPr>
          <w:id w:val="10006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Bénéfice net / Capitaux propres x 100</w:t>
      </w:r>
    </w:p>
    <w:p>
      <w:pPr>
        <w:spacing w:after="40"/>
        <w:ind w:left="400"/>
      </w:pPr>
      <w:sdt>
        <w:sdtPr>
          <w:rPr>
            <w:rFonts w:ascii="MS Gothic" w:eastAsia="MS Gothic" w:hAnsi="MS Gothic" w:cs="Arial" w:hint="eastAsia"/>
          </w:rPr>
          <w:id w:val="10006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Capitaux propres / Total bilan x 100</w:t>
      </w:r>
    </w:p>
    <w:p>
      <w:pPr>
        <w:spacing w:after="40"/>
        <w:ind w:left="400"/>
      </w:pPr>
      <w:sdt>
        <w:sdtPr>
          <w:rPr>
            <w:rFonts w:ascii="MS Gothic" w:eastAsia="MS Gothic" w:hAnsi="MS Gothic" w:cs="Arial" w:hint="eastAsia"/>
          </w:rPr>
          <w:id w:val="10006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Charges / Produits x 100</w:t>
      </w:r>
    </w:p>
    <w:p>
      <w:pPr>
        <w:spacing w:after="80" w:before="160"/>
      </w:pPr>
      <w:r>
        <w:rPr>
          <w:rFonts w:ascii="Calibri" w:cs="Calibri" w:eastAsia="Calibri" w:hAnsi="Calibri"/>
          <w:b/>
          <w:bCs/>
          <w:color w:val="6E1F14"/>
          <w:sz w:val="22"/>
          <w:szCs w:val="22"/>
        </w:rPr>
        <w:t xml:space="preserve">Question 3. </w:t>
      </w:r>
      <w:r>
        <w:rPr>
          <w:rFonts w:ascii="Calibri" w:cs="Calibri" w:eastAsia="Calibri" w:hAnsi="Calibri"/>
          <w:b w:val="false"/>
          <w:bCs w:val="false"/>
          <w:i w:val="false"/>
          <w:iCs w:val="false"/>
          <w:color w:val="1A1A1A"/>
          <w:sz w:val="22"/>
          <w:szCs w:val="22"/>
        </w:rPr>
        <w:t xml:space="preserve">Un tableau de bord efficace doit privilégier :</w:t>
      </w:r>
    </w:p>
    <w:p>
      <w:pPr>
        <w:spacing w:after="40"/>
        <w:ind w:left="400"/>
      </w:pPr>
      <w:sdt>
        <w:sdtPr>
          <w:rPr>
            <w:rFonts w:ascii="MS Gothic" w:eastAsia="MS Gothic" w:hAnsi="MS Gothic" w:cs="Arial" w:hint="eastAsia"/>
          </w:rPr>
          <w:id w:val="10006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Le maximum d'indicateurs possible pour être exhaustif</w:t>
      </w:r>
    </w:p>
    <w:p>
      <w:pPr>
        <w:spacing w:after="40"/>
        <w:ind w:left="400"/>
      </w:pPr>
      <w:sdt>
        <w:sdtPr>
          <w:rPr>
            <w:rFonts w:ascii="MS Gothic" w:eastAsia="MS Gothic" w:hAnsi="MS Gothic" w:cs="Arial" w:hint="eastAsia"/>
          </w:rPr>
          <w:id w:val="10007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3 à 7 indicateurs clés actionnables, lisibles en 5 minutes</w:t>
      </w:r>
    </w:p>
    <w:p>
      <w:pPr>
        <w:spacing w:after="40"/>
        <w:ind w:left="400"/>
      </w:pPr>
      <w:sdt>
        <w:sdtPr>
          <w:rPr>
            <w:rFonts w:ascii="MS Gothic" w:eastAsia="MS Gothic" w:hAnsi="MS Gothic" w:cs="Arial" w:hint="eastAsia"/>
          </w:rPr>
          <w:id w:val="10007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Uniquement les indicateurs financiers</w:t>
      </w:r>
    </w:p>
    <w:p>
      <w:pPr>
        <w:spacing w:after="40"/>
        <w:ind w:left="400"/>
      </w:pPr>
      <w:sdt>
        <w:sdtPr>
          <w:rPr>
            <w:rFonts w:ascii="MS Gothic" w:eastAsia="MS Gothic" w:hAnsi="MS Gothic" w:cs="Arial" w:hint="eastAsia"/>
          </w:rPr>
          <w:id w:val="10007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Les indicateurs du mois précédent uniquement</w:t>
      </w:r>
    </w:p>
    <w:p>
      <w:pPr>
        <w:spacing w:after="80" w:before="160"/>
      </w:pPr>
      <w:r>
        <w:rPr>
          <w:rFonts w:ascii="Calibri" w:cs="Calibri" w:eastAsia="Calibri" w:hAnsi="Calibri"/>
          <w:b/>
          <w:bCs/>
          <w:color w:val="6E1F14"/>
          <w:sz w:val="22"/>
          <w:szCs w:val="22"/>
        </w:rPr>
        <w:t xml:space="preserve">Question 4. </w:t>
      </w:r>
      <w:r>
        <w:rPr>
          <w:rFonts w:ascii="Calibri" w:cs="Calibri" w:eastAsia="Calibri" w:hAnsi="Calibri"/>
          <w:b w:val="false"/>
          <w:bCs w:val="false"/>
          <w:i w:val="false"/>
          <w:iCs w:val="false"/>
          <w:color w:val="1A1A1A"/>
          <w:sz w:val="22"/>
          <w:szCs w:val="22"/>
        </w:rPr>
        <w:t xml:space="preserve">La 'valeur ajoutée' d'une entreprise se calcule par :</w:t>
      </w:r>
    </w:p>
    <w:p>
      <w:pPr>
        <w:spacing w:after="40"/>
        <w:ind w:left="400"/>
      </w:pPr>
      <w:sdt>
        <w:sdtPr>
          <w:rPr>
            <w:rFonts w:ascii="MS Gothic" w:eastAsia="MS Gothic" w:hAnsi="MS Gothic" w:cs="Arial" w:hint="eastAsia"/>
          </w:rPr>
          <w:id w:val="10007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CA - Achats et charges externes</w:t>
      </w:r>
    </w:p>
    <w:p>
      <w:pPr>
        <w:spacing w:after="40"/>
        <w:ind w:left="400"/>
      </w:pPr>
      <w:sdt>
        <w:sdtPr>
          <w:rPr>
            <w:rFonts w:ascii="MS Gothic" w:eastAsia="MS Gothic" w:hAnsi="MS Gothic" w:cs="Arial" w:hint="eastAsia"/>
          </w:rPr>
          <w:id w:val="10007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CA - Toutes les charges</w:t>
      </w:r>
    </w:p>
    <w:p>
      <w:pPr>
        <w:spacing w:after="40"/>
        <w:ind w:left="400"/>
      </w:pPr>
      <w:sdt>
        <w:sdtPr>
          <w:rPr>
            <w:rFonts w:ascii="MS Gothic" w:eastAsia="MS Gothic" w:hAnsi="MS Gothic" w:cs="Arial" w:hint="eastAsia"/>
          </w:rPr>
          <w:id w:val="10007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Bénéfice + Amortissements</w:t>
      </w:r>
    </w:p>
    <w:p>
      <w:pPr>
        <w:spacing w:after="40"/>
        <w:ind w:left="400"/>
      </w:pPr>
      <w:sdt>
        <w:sdtPr>
          <w:rPr>
            <w:rFonts w:ascii="MS Gothic" w:eastAsia="MS Gothic" w:hAnsi="MS Gothic" w:cs="Arial" w:hint="eastAsia"/>
          </w:rPr>
          <w:id w:val="10007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Produits financiers - Charges financières</w:t>
      </w:r>
    </w:p>
    <w:p>
      <w:pPr>
        <w:spacing w:after="80" w:before="160"/>
      </w:pPr>
      <w:r>
        <w:rPr>
          <w:rFonts w:ascii="Calibri" w:cs="Calibri" w:eastAsia="Calibri" w:hAnsi="Calibri"/>
          <w:b/>
          <w:bCs/>
          <w:color w:val="6E1F14"/>
          <w:sz w:val="22"/>
          <w:szCs w:val="22"/>
        </w:rPr>
        <w:t xml:space="preserve">Question 5. </w:t>
      </w:r>
      <w:r>
        <w:rPr>
          <w:rFonts w:ascii="Calibri" w:cs="Calibri" w:eastAsia="Calibri" w:hAnsi="Calibri"/>
          <w:b w:val="false"/>
          <w:bCs w:val="false"/>
          <w:i w:val="false"/>
          <w:iCs w:val="false"/>
          <w:color w:val="1A1A1A"/>
          <w:sz w:val="22"/>
          <w:szCs w:val="22"/>
        </w:rPr>
        <w:t xml:space="preserve">Un 'écart défavorable' dans un tableau de bord entre le réel et le prévisionnel doit conduire à :</w:t>
      </w:r>
    </w:p>
    <w:p>
      <w:pPr>
        <w:spacing w:after="40"/>
        <w:ind w:left="400"/>
      </w:pPr>
      <w:sdt>
        <w:sdtPr>
          <w:rPr>
            <w:rFonts w:ascii="MS Gothic" w:eastAsia="MS Gothic" w:hAnsi="MS Gothic" w:cs="Arial" w:hint="eastAsia"/>
          </w:rPr>
          <w:id w:val="10007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Modifier le prévisionnel pour qu'il corresponde au réel</w:t>
      </w:r>
    </w:p>
    <w:p>
      <w:pPr>
        <w:spacing w:after="40"/>
        <w:ind w:left="400"/>
      </w:pPr>
      <w:sdt>
        <w:sdtPr>
          <w:rPr>
            <w:rFonts w:ascii="MS Gothic" w:eastAsia="MS Gothic" w:hAnsi="MS Gothic" w:cs="Arial" w:hint="eastAsia"/>
          </w:rPr>
          <w:id w:val="10007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Analyser la cause et prendre une action corrective</w:t>
      </w:r>
    </w:p>
    <w:p>
      <w:pPr>
        <w:spacing w:after="40"/>
        <w:ind w:left="400"/>
      </w:pPr>
      <w:sdt>
        <w:sdtPr>
          <w:rPr>
            <w:rFonts w:ascii="MS Gothic" w:eastAsia="MS Gothic" w:hAnsi="MS Gothic" w:cs="Arial" w:hint="eastAsia"/>
          </w:rPr>
          <w:id w:val="10007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Ignorer si c'est inférieur à 10%</w:t>
      </w:r>
    </w:p>
    <w:p>
      <w:pPr>
        <w:spacing w:after="40"/>
        <w:ind w:left="400"/>
      </w:pPr>
      <w:sdt>
        <w:sdtPr>
          <w:rPr>
            <w:rFonts w:ascii="MS Gothic" w:eastAsia="MS Gothic" w:hAnsi="MS Gothic" w:cs="Arial" w:hint="eastAsia"/>
          </w:rPr>
          <w:id w:val="10008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Attendre la fin de l'année pour évaluer</w:t>
      </w:r>
    </w:p>
    <w:p>
      <w:pPr>
        <w:pStyle w:val="Heading2"/>
        <w:spacing w:after="160" w:before="240"/>
      </w:pPr>
      <w:r>
        <w:rPr>
          <w:rFonts w:ascii="Calibri" w:cs="Calibri" w:eastAsia="Calibri" w:hAnsi="Calibri"/>
          <w:b/>
          <w:bCs/>
          <w:color w:val="A8442B"/>
          <w:sz w:val="26"/>
          <w:szCs w:val="26"/>
        </w:rPr>
        <w:t xml:space="preserve">PARTIE 2 — Questions ouvertes (5 points chacune)</w:t>
      </w:r>
    </w:p>
    <w:p>
      <w:pPr>
        <w:spacing w:after="100" w:before="160"/>
      </w:pPr>
      <w:r>
        <w:rPr>
          <w:rFonts w:ascii="Calibri" w:cs="Calibri" w:eastAsia="Calibri" w:hAnsi="Calibri"/>
          <w:b/>
          <w:bCs/>
          <w:color w:val="6E1F14"/>
          <w:sz w:val="22"/>
          <w:szCs w:val="22"/>
        </w:rPr>
        <w:t xml:space="preserve">Question 1 : </w:t>
      </w:r>
      <w:r>
        <w:rPr>
          <w:rFonts w:ascii="Calibri" w:cs="Calibri" w:eastAsia="Calibri" w:hAnsi="Calibri"/>
          <w:b w:val="false"/>
          <w:bCs w:val="false"/>
          <w:i w:val="false"/>
          <w:iCs w:val="false"/>
          <w:color w:val="1A1A1A"/>
          <w:sz w:val="22"/>
          <w:szCs w:val="22"/>
        </w:rPr>
        <w:t xml:space="preserve">Construisez un tableau de bord complet pour votre activité avec 6 KPIs choisis et expliquez comment vous les calculez.</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pPr>
        <w:spacing w:after="160"/>
      </w:pPr>
    </w:p>
    <w:p>
      <w:pPr>
        <w:spacing w:after="100" w:before="160"/>
      </w:pPr>
      <w:r>
        <w:rPr>
          <w:rFonts w:ascii="Calibri" w:cs="Calibri" w:eastAsia="Calibri" w:hAnsi="Calibri"/>
          <w:b/>
          <w:bCs/>
          <w:color w:val="6E1F14"/>
          <w:sz w:val="22"/>
          <w:szCs w:val="22"/>
        </w:rPr>
        <w:t xml:space="preserve">Question 2 : </w:t>
      </w:r>
      <w:r>
        <w:rPr>
          <w:rFonts w:ascii="Calibri" w:cs="Calibri" w:eastAsia="Calibri" w:hAnsi="Calibri"/>
          <w:b w:val="false"/>
          <w:bCs w:val="false"/>
          <w:i w:val="false"/>
          <w:iCs w:val="false"/>
          <w:color w:val="1A1A1A"/>
          <w:sz w:val="22"/>
          <w:szCs w:val="22"/>
        </w:rPr>
        <w:t xml:space="preserve">Comment interpréteriez-vous un taux de marge nette de 8% pour une TPE artisanale ? Est-ce satisfaisant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pPr>
        <w:spacing w:after="160"/>
      </w:pPr>
    </w:p>
    <w:p>
      <w:pPr>
        <w:pStyle w:val="Heading2"/>
        <w:spacing w:after="160" w:before="240"/>
      </w:pPr>
      <w:r>
        <w:rPr>
          <w:rFonts w:ascii="Calibri" w:cs="Calibri" w:eastAsia="Calibri" w:hAnsi="Calibri"/>
          <w:b/>
          <w:bCs/>
          <w:color w:val="A8442B"/>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442B" w:sz="4"/>
              <w:left w:val="single" w:color="A8442B" w:sz="4"/>
              <w:bottom w:val="single" w:color="A8442B" w:sz="4"/>
              <w:right w:val="single" w:color="A8442B" w:sz="4"/>
            </w:tcBorders>
            <w:shd w:fill="FBEEE9" w:color="auto" w:val="clear"/>
            <w:tcMar>
              <w:top w:type="dxa" w:w="150"/>
              <w:left w:type="dxa" w:w="200"/>
              <w:bottom w:type="dxa" w:w="150"/>
              <w:right w:type="dxa" w:w="200"/>
            </w:tcMar>
          </w:tcPr>
          <w:p>
            <w:r>
              <w:rPr>
                <w:rFonts w:ascii="Calibri" w:cs="Calibri" w:eastAsia="Calibri" w:hAnsi="Calibri"/>
                <w:b/>
                <w:bCs/>
                <w:color w:val="A8442B"/>
                <w:sz w:val="21"/>
                <w:szCs w:val="21"/>
              </w:rPr>
              <w:t xml:space="preserve">Scénario — </w:t>
            </w:r>
          </w:p>
          <w:p>
            <w:pPr>
              <w:spacing w:before="60"/>
            </w:pPr>
            <w:r>
              <w:rPr>
                <w:rFonts w:ascii="Calibri" w:cs="Calibri" w:eastAsia="Calibri" w:hAnsi="Calibri"/>
                <w:b w:val="false"/>
                <w:bCs w:val="false"/>
                <w:i/>
                <w:iCs/>
                <w:color w:val="1A1A1A"/>
                <w:sz w:val="21"/>
                <w:szCs w:val="21"/>
              </w:rPr>
              <w:t xml:space="preserve">Votre expert-comptable vous remet votre bilan annuel. Données clés : CA = 195 000 € | Résultat net = 38 000 € | Capitaux propres = 62 000 € | Créances clients = 18 500 € | Dettes fournisseurs = 6 200 € | Stocks = 4 800 €.</w:t>
            </w:r>
          </w:p>
        </w:tc>
      </w:tr>
    </w:tbl>
    <w:p>
      <w:pPr>
        <w:spacing w:after="140"/>
      </w:pPr>
    </w:p>
    <w:p>
      <w:pPr>
        <w:spacing w:after="120"/>
      </w:pPr>
      <w:r>
        <w:rPr>
          <w:rFonts w:ascii="Calibri" w:cs="Calibri" w:eastAsia="Calibri" w:hAnsi="Calibri"/>
          <w:b/>
          <w:bCs/>
          <w:color w:val="6E1F14"/>
          <w:sz w:val="22"/>
          <w:szCs w:val="22"/>
        </w:rPr>
        <w:t xml:space="preserve">Mission : </w:t>
      </w:r>
      <w:r>
        <w:rPr>
          <w:rFonts w:ascii="Calibri" w:cs="Calibri" w:eastAsia="Calibri" w:hAnsi="Calibri"/>
          <w:b w:val="false"/>
          <w:bCs w:val="false"/>
          <w:i w:val="false"/>
          <w:iCs w:val="false"/>
          <w:color w:val="1A1A1A"/>
          <w:sz w:val="22"/>
          <w:szCs w:val="22"/>
        </w:rPr>
        <w:t xml:space="preserve">Calculez 3 ratios clés (taux de marge nette, ROE, BFR) et interprétez votre situation financière.</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r>
              <w:t xml:space="preserve">Taux de marge nette = (31 000 / 182 000) * 100 = 17.03%. ROE = (31 000 / 54 000) * 100 = 57.4%. BFR = (Stocks 3 900 + Créances 15 200) - Dettes 5 400 = 13 700 €. L'entreprise présente une excellente rentabilité financière (ROE élevé) et une gestion saine du besoin en fonds de roulement.</w:t>
            </w:r>
          </w:p>
          <w:p>
            <w:pPr>
              <w:spacing w:after="220"/>
            </w:pPr>
            <w:r>
              <w:rPr>
                <w:sz w:val="22"/>
                <w:szCs w:val="22"/>
              </w:rPr>
              <w:t xml:space="preserve"/>
            </w:r>
            <w:r>
              <w:t xml:space="preserve">En EI : Cotisations = 49 000 * 45% = 22 050 €. En SASU : Charges sociales sur salaire = 22 000 * 78% = 17 160 € ; flat tax sur dividendes = 18 000 * 30% = 5 400 € ; total SASU = 22 560 €. La différence financière est minime (510 €), mais la SASU offre une responsabilité limitée et une meilleure protection sociale.</w:t>
            </w:r>
          </w:p>
          <w:p>
            <w:pPr>
              <w:spacing w:after="220"/>
            </w:pPr>
            <w:r>
              <w:rPr>
                <w:sz w:val="22"/>
                <w:szCs w:val="22"/>
              </w:rPr>
              <w:t xml:space="preserve"/>
            </w:r>
            <w:r>
              <w:t xml:space="preserve">La comparaison montre que la SASU est préférable à l'EI pour ce niveau d'activité, car elle permet de sécuriser le patrimoine personnel du dirigeant tout en offrant la flexibilité nécessaire pour les futures embauches ou l'intégration d'associés.</w:t>
            </w:r>
          </w:p>
          <w:p>
            <w:pPr>
              <w:spacing w:after="220"/>
            </w:pPr>
            <w:r>
              <w:rPr>
                <w:sz w:val="22"/>
                <w:szCs w:val="22"/>
              </w:rPr>
              <w:t xml:space="preserve"/>
            </w:r>
          </w:p>
          <w:p>
            <w:pPr>
              <w:spacing w:after="220"/>
            </w:pPr>
            <w:r>
              <w:rPr>
                <w:sz w:val="22"/>
                <w:szCs w:val="22"/>
              </w:rPr>
              <w:t xml:space="preserve"/>
            </w:r>
            <w:r>
              <w:t xml:space="preserve">L'évaluation montre une compréhension rigoureuse des équilibres financiers de la TPE. Les propositions d'optimisation de trésorerie et le plan d'action commercial sont réalistes et adaptés à la structure étudiée.</w:t>
            </w:r>
          </w:p>
          <w:p>
            <w:pPr>
              <w:spacing w:after="220"/>
            </w:pPr>
            <w:r>
              <w:rPr>
                <w:sz w:val="22"/>
                <w:szCs w:val="22"/>
              </w:rPr>
              <w:t xml:space="preserve"/>
            </w:r>
            <w:r>
              <w:t xml:space="preserve">L'évaluation montre une compréhension rigoureuse des équilibres financiers de la TPE. Les propositions d'optimisation de trésorerie et le plan d'action commercial sont réalistes et adaptés à la structure étudiée.</w:t>
            </w:r>
          </w:p>
        </w:tc>
      </w:tr>
    </w:tbl>
    <w:p>
      <w:r>
        <w:br w:type="page"/>
      </w:r>
      <w:r>
        <w:t xml:space="preserve">L'évaluation montre une compréhension rigoureuse des équilibres financiers de la TPE. Les propositions d'optimisation de trésorerie et le plan d'action commercial sont réalistes et adaptés à la structure étudiée.</w:t>
      </w:r>
    </w:p>
    <w:p>
      <w:pPr>
        <w:pStyle w:val="Heading1"/>
        <w:spacing w:after="60" w:before="200"/>
      </w:pPr>
      <w:r>
        <w:rPr>
          <w:rFonts w:ascii="Calibri" w:cs="Calibri" w:eastAsia="Calibri" w:hAnsi="Calibri"/>
          <w:b/>
          <w:bCs/>
          <w:color w:val="6E1F14"/>
          <w:sz w:val="32"/>
          <w:szCs w:val="32"/>
        </w:rPr>
        <w:t xml:space="preserve">Module 5 — Statuts Juridiques et Organisation</w:t>
      </w:r>
    </w:p>
    <w:p>
      <w:pPr>
        <w:spacing w:after="160"/>
      </w:pPr>
      <w:r>
        <w:rPr>
          <w:rFonts w:ascii="Calibri" w:cs="Calibri" w:eastAsia="Calibri" w:hAnsi="Calibri"/>
          <w:i/>
          <w:iCs/>
          <w:color w:val="6B7280"/>
          <w:sz w:val="20"/>
          <w:szCs w:val="20"/>
        </w:rPr>
        <w:t xml:space="preserve">Fiscalité, cotisations, liasse fiscale, organisation comptable — Évaluation finale</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______________________________</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finale</w:t>
            </w:r>
          </w:p>
        </w:tc>
      </w:tr>
    </w:tbl>
    <w:p>
      <w:pPr>
        <w:spacing w:after="200"/>
      </w:pPr>
    </w:p>
    <w:p>
      <w:pPr>
        <w:pStyle w:val="Heading2"/>
        <w:spacing w:after="160" w:before="240"/>
      </w:pPr>
      <w:r>
        <w:rPr>
          <w:rFonts w:ascii="Calibri" w:cs="Calibri" w:eastAsia="Calibri" w:hAnsi="Calibri"/>
          <w:b/>
          <w:bCs/>
          <w:color w:val="A8442B"/>
          <w:sz w:val="26"/>
          <w:szCs w:val="26"/>
        </w:rPr>
        <w:t xml:space="preserve">PARTIE 1 — QCM (1 point par question)</w:t>
      </w:r>
    </w:p>
    <w:p>
      <w:pPr>
        <w:spacing w:after="80" w:before="160"/>
      </w:pPr>
      <w:r>
        <w:rPr>
          <w:rFonts w:ascii="Calibri" w:cs="Calibri" w:eastAsia="Calibri" w:hAnsi="Calibri"/>
          <w:b/>
          <w:bCs/>
          <w:color w:val="6E1F14"/>
          <w:sz w:val="22"/>
          <w:szCs w:val="22"/>
        </w:rPr>
        <w:t xml:space="preserve">Question 1. </w:t>
      </w:r>
      <w:r>
        <w:rPr>
          <w:rFonts w:ascii="Calibri" w:cs="Calibri" w:eastAsia="Calibri" w:hAnsi="Calibri"/>
          <w:b w:val="false"/>
          <w:bCs w:val="false"/>
          <w:i w:val="false"/>
          <w:iCs w:val="false"/>
          <w:color w:val="1A1A1A"/>
          <w:sz w:val="22"/>
          <w:szCs w:val="22"/>
        </w:rPr>
        <w:t xml:space="preserve">En régime micro-BIC pour les prestations de services, le taux d'abattement forfaitaire pour charges est de :</w:t>
      </w:r>
    </w:p>
    <w:p>
      <w:pPr>
        <w:spacing w:after="40"/>
        <w:ind w:left="400"/>
      </w:pPr>
      <w:sdt>
        <w:sdtPr>
          <w:rPr>
            <w:rFonts w:ascii="MS Gothic" w:eastAsia="MS Gothic" w:hAnsi="MS Gothic" w:cs="Arial" w:hint="eastAsia"/>
          </w:rPr>
          <w:id w:val="10008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29%</w:t>
      </w:r>
    </w:p>
    <w:p>
      <w:pPr>
        <w:spacing w:after="40"/>
        <w:ind w:left="400"/>
      </w:pPr>
      <w:sdt>
        <w:sdtPr>
          <w:rPr>
            <w:rFonts w:ascii="MS Gothic" w:eastAsia="MS Gothic" w:hAnsi="MS Gothic" w:cs="Arial" w:hint="eastAsia"/>
          </w:rPr>
          <w:id w:val="10008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34%</w:t>
      </w:r>
    </w:p>
    <w:p>
      <w:pPr>
        <w:spacing w:after="40"/>
        <w:ind w:left="400"/>
      </w:pPr>
      <w:sdt>
        <w:sdtPr>
          <w:rPr>
            <w:rFonts w:ascii="MS Gothic" w:eastAsia="MS Gothic" w:hAnsi="MS Gothic" w:cs="Arial" w:hint="eastAsia"/>
          </w:rPr>
          <w:id w:val="10008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50%</w:t>
      </w:r>
    </w:p>
    <w:p>
      <w:pPr>
        <w:spacing w:after="40"/>
        <w:ind w:left="400"/>
      </w:pPr>
      <w:sdt>
        <w:sdtPr>
          <w:rPr>
            <w:rFonts w:ascii="MS Gothic" w:eastAsia="MS Gothic" w:hAnsi="MS Gothic" w:cs="Arial" w:hint="eastAsia"/>
          </w:rPr>
          <w:id w:val="10008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71%</w:t>
      </w:r>
    </w:p>
    <w:p>
      <w:pPr>
        <w:spacing w:after="80" w:before="160"/>
      </w:pPr>
      <w:r>
        <w:rPr>
          <w:rFonts w:ascii="Calibri" w:cs="Calibri" w:eastAsia="Calibri" w:hAnsi="Calibri"/>
          <w:b/>
          <w:bCs/>
          <w:color w:val="6E1F14"/>
          <w:sz w:val="22"/>
          <w:szCs w:val="22"/>
        </w:rPr>
        <w:t xml:space="preserve">Question 2. </w:t>
      </w:r>
      <w:r>
        <w:rPr>
          <w:rFonts w:ascii="Calibri" w:cs="Calibri" w:eastAsia="Calibri" w:hAnsi="Calibri"/>
          <w:b w:val="false"/>
          <w:bCs w:val="false"/>
          <w:i w:val="false"/>
          <w:iCs w:val="false"/>
          <w:color w:val="1A1A1A"/>
          <w:sz w:val="22"/>
          <w:szCs w:val="22"/>
        </w:rPr>
        <w:t xml:space="preserve">La 'liasse fiscale' est :</w:t>
      </w:r>
    </w:p>
    <w:p>
      <w:pPr>
        <w:spacing w:after="40"/>
        <w:ind w:left="400"/>
      </w:pPr>
      <w:sdt>
        <w:sdtPr>
          <w:rPr>
            <w:rFonts w:ascii="MS Gothic" w:eastAsia="MS Gothic" w:hAnsi="MS Gothic" w:cs="Arial" w:hint="eastAsia"/>
          </w:rPr>
          <w:id w:val="10008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La déclaration mensuelle de TVA</w:t>
      </w:r>
    </w:p>
    <w:p>
      <w:pPr>
        <w:spacing w:after="40"/>
        <w:ind w:left="400"/>
      </w:pPr>
      <w:sdt>
        <w:sdtPr>
          <w:rPr>
            <w:rFonts w:ascii="MS Gothic" w:eastAsia="MS Gothic" w:hAnsi="MS Gothic" w:cs="Arial" w:hint="eastAsia"/>
          </w:rPr>
          <w:id w:val="10008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L'ensemble des formulaires fiscaux déposés annuellement avec le bilan</w:t>
      </w:r>
    </w:p>
    <w:p>
      <w:pPr>
        <w:spacing w:after="40"/>
        <w:ind w:left="400"/>
      </w:pPr>
      <w:sdt>
        <w:sdtPr>
          <w:rPr>
            <w:rFonts w:ascii="MS Gothic" w:eastAsia="MS Gothic" w:hAnsi="MS Gothic" w:cs="Arial" w:hint="eastAsia"/>
          </w:rPr>
          <w:id w:val="10008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La liste des fournisseurs fiscaux</w:t>
      </w:r>
    </w:p>
    <w:p>
      <w:pPr>
        <w:spacing w:after="40"/>
        <w:ind w:left="400"/>
      </w:pPr>
      <w:sdt>
        <w:sdtPr>
          <w:rPr>
            <w:rFonts w:ascii="MS Gothic" w:eastAsia="MS Gothic" w:hAnsi="MS Gothic" w:cs="Arial" w:hint="eastAsia"/>
          </w:rPr>
          <w:id w:val="10008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Le dossier de demande de crédit bancaire</w:t>
      </w:r>
    </w:p>
    <w:p>
      <w:pPr>
        <w:spacing w:after="80" w:before="160"/>
      </w:pPr>
      <w:r>
        <w:rPr>
          <w:rFonts w:ascii="Calibri" w:cs="Calibri" w:eastAsia="Calibri" w:hAnsi="Calibri"/>
          <w:b/>
          <w:bCs/>
          <w:color w:val="6E1F14"/>
          <w:sz w:val="22"/>
          <w:szCs w:val="22"/>
        </w:rPr>
        <w:t xml:space="preserve">Question 3. </w:t>
      </w:r>
      <w:r>
        <w:rPr>
          <w:rFonts w:ascii="Calibri" w:cs="Calibri" w:eastAsia="Calibri" w:hAnsi="Calibri"/>
          <w:b w:val="false"/>
          <w:bCs w:val="false"/>
          <w:i w:val="false"/>
          <w:iCs w:val="false"/>
          <w:color w:val="1A1A1A"/>
          <w:sz w:val="22"/>
          <w:szCs w:val="22"/>
        </w:rPr>
        <w:t xml:space="preserve">Une entreprise peut choisir volontairement d'opter pour l'impôt sur les sociétés (IS) dans certains statuts. L'IS est notamment avantageux quand :</w:t>
      </w:r>
    </w:p>
    <w:p>
      <w:pPr>
        <w:spacing w:after="40"/>
        <w:ind w:left="400"/>
      </w:pPr>
      <w:sdt>
        <w:sdtPr>
          <w:rPr>
            <w:rFonts w:ascii="MS Gothic" w:eastAsia="MS Gothic" w:hAnsi="MS Gothic" w:cs="Arial" w:hint="eastAsia"/>
          </w:rPr>
          <w:id w:val="10008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L'entrepreneur réinvestit ses bénéfices dans l'entreprise plutôt que de les prélever</w:t>
      </w:r>
    </w:p>
    <w:p>
      <w:pPr>
        <w:spacing w:after="40"/>
        <w:ind w:left="400"/>
      </w:pPr>
      <w:sdt>
        <w:sdtPr>
          <w:rPr>
            <w:rFonts w:ascii="MS Gothic" w:eastAsia="MS Gothic" w:hAnsi="MS Gothic" w:cs="Arial" w:hint="eastAsia"/>
          </w:rPr>
          <w:id w:val="10009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L'entrepreneur est dans la tranche d'IR la plus basse</w:t>
      </w:r>
    </w:p>
    <w:p>
      <w:pPr>
        <w:spacing w:after="40"/>
        <w:ind w:left="400"/>
      </w:pPr>
      <w:sdt>
        <w:sdtPr>
          <w:rPr>
            <w:rFonts w:ascii="MS Gothic" w:eastAsia="MS Gothic" w:hAnsi="MS Gothic" w:cs="Arial" w:hint="eastAsia"/>
          </w:rPr>
          <w:id w:val="10009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L'entreprise réalise peu de bénéfices</w:t>
      </w:r>
    </w:p>
    <w:p>
      <w:pPr>
        <w:spacing w:after="40"/>
        <w:ind w:left="400"/>
      </w:pPr>
      <w:sdt>
        <w:sdtPr>
          <w:rPr>
            <w:rFonts w:ascii="MS Gothic" w:eastAsia="MS Gothic" w:hAnsi="MS Gothic" w:cs="Arial" w:hint="eastAsia"/>
          </w:rPr>
          <w:id w:val="10009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Le gérant est en auto-entrepreneur</w:t>
      </w:r>
    </w:p>
    <w:p>
      <w:pPr>
        <w:spacing w:after="80" w:before="160"/>
      </w:pPr>
      <w:r>
        <w:rPr>
          <w:rFonts w:ascii="Calibri" w:cs="Calibri" w:eastAsia="Calibri" w:hAnsi="Calibri"/>
          <w:b/>
          <w:bCs/>
          <w:color w:val="6E1F14"/>
          <w:sz w:val="22"/>
          <w:szCs w:val="22"/>
        </w:rPr>
        <w:t xml:space="preserve">Question 4. </w:t>
      </w:r>
      <w:r>
        <w:rPr>
          <w:rFonts w:ascii="Calibri" w:cs="Calibri" w:eastAsia="Calibri" w:hAnsi="Calibri"/>
          <w:b w:val="false"/>
          <w:bCs w:val="false"/>
          <w:i w:val="false"/>
          <w:iCs w:val="false"/>
          <w:color w:val="1A1A1A"/>
          <w:sz w:val="22"/>
          <w:szCs w:val="22"/>
        </w:rPr>
        <w:t xml:space="preserve">La 'Déclaration Sociale des Indépendants' (DSI) sert à :</w:t>
      </w:r>
    </w:p>
    <w:p>
      <w:pPr>
        <w:spacing w:after="40"/>
        <w:ind w:left="400"/>
      </w:pPr>
      <w:sdt>
        <w:sdtPr>
          <w:rPr>
            <w:rFonts w:ascii="MS Gothic" w:eastAsia="MS Gothic" w:hAnsi="MS Gothic" w:cs="Arial" w:hint="eastAsia"/>
          </w:rPr>
          <w:id w:val="10009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Déclarer ses charges sociales personnelles en tant que travailleur indépendant</w:t>
      </w:r>
    </w:p>
    <w:p>
      <w:pPr>
        <w:spacing w:after="40"/>
        <w:ind w:left="400"/>
      </w:pPr>
      <w:sdt>
        <w:sdtPr>
          <w:rPr>
            <w:rFonts w:ascii="MS Gothic" w:eastAsia="MS Gothic" w:hAnsi="MS Gothic" w:cs="Arial" w:hint="eastAsia"/>
          </w:rPr>
          <w:id w:val="10009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Déclarer les salaires de ses employés</w:t>
      </w:r>
    </w:p>
    <w:p>
      <w:pPr>
        <w:spacing w:after="40"/>
        <w:ind w:left="400"/>
      </w:pPr>
      <w:sdt>
        <w:sdtPr>
          <w:rPr>
            <w:rFonts w:ascii="MS Gothic" w:eastAsia="MS Gothic" w:hAnsi="MS Gothic" w:cs="Arial" w:hint="eastAsia"/>
          </w:rPr>
          <w:id w:val="10009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Payer la TVA des indépendants</w:t>
      </w:r>
    </w:p>
    <w:p>
      <w:pPr>
        <w:spacing w:after="40"/>
        <w:ind w:left="400"/>
      </w:pPr>
      <w:sdt>
        <w:sdtPr>
          <w:rPr>
            <w:rFonts w:ascii="MS Gothic" w:eastAsia="MS Gothic" w:hAnsi="MS Gothic" w:cs="Arial" w:hint="eastAsia"/>
          </w:rPr>
          <w:id w:val="10009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S'inscrire à la chambre de métiers</w:t>
      </w:r>
    </w:p>
    <w:p>
      <w:pPr>
        <w:spacing w:after="80" w:before="160"/>
      </w:pPr>
      <w:r>
        <w:rPr>
          <w:rFonts w:ascii="Calibri" w:cs="Calibri" w:eastAsia="Calibri" w:hAnsi="Calibri"/>
          <w:b/>
          <w:bCs/>
          <w:color w:val="6E1F14"/>
          <w:sz w:val="22"/>
          <w:szCs w:val="22"/>
        </w:rPr>
        <w:t xml:space="preserve">Question 5. </w:t>
      </w:r>
      <w:r>
        <w:rPr>
          <w:rFonts w:ascii="Calibri" w:cs="Calibri" w:eastAsia="Calibri" w:hAnsi="Calibri"/>
          <w:b w:val="false"/>
          <w:bCs w:val="false"/>
          <w:i w:val="false"/>
          <w:iCs w:val="false"/>
          <w:color w:val="1A1A1A"/>
          <w:sz w:val="22"/>
          <w:szCs w:val="22"/>
        </w:rPr>
        <w:t xml:space="preserve">L'obligation de conservation des documents comptables en France est de :</w:t>
      </w:r>
    </w:p>
    <w:p>
      <w:pPr>
        <w:spacing w:after="40"/>
        <w:ind w:left="400"/>
      </w:pPr>
      <w:sdt>
        <w:sdtPr>
          <w:rPr>
            <w:rFonts w:ascii="MS Gothic" w:eastAsia="MS Gothic" w:hAnsi="MS Gothic" w:cs="Arial" w:hint="eastAsia"/>
          </w:rPr>
          <w:id w:val="10009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3 ans</w:t>
      </w:r>
    </w:p>
    <w:p>
      <w:pPr>
        <w:spacing w:after="40"/>
        <w:ind w:left="400"/>
      </w:pPr>
      <w:sdt>
        <w:sdtPr>
          <w:rPr>
            <w:rFonts w:ascii="MS Gothic" w:eastAsia="MS Gothic" w:hAnsi="MS Gothic" w:cs="Arial" w:hint="eastAsia"/>
          </w:rPr>
          <w:id w:val="10009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10 ans</w:t>
      </w:r>
    </w:p>
    <w:p>
      <w:pPr>
        <w:spacing w:after="40"/>
        <w:ind w:left="400"/>
      </w:pPr>
      <w:sdt>
        <w:sdtPr>
          <w:rPr>
            <w:rFonts w:ascii="MS Gothic" w:eastAsia="MS Gothic" w:hAnsi="MS Gothic" w:cs="Arial" w:hint="eastAsia"/>
          </w:rPr>
          <w:id w:val="10009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5 ans</w:t>
      </w:r>
    </w:p>
    <w:p>
      <w:pPr>
        <w:spacing w:after="40"/>
        <w:ind w:left="400"/>
      </w:pPr>
      <w:sdt>
        <w:sdtPr>
          <w:rPr>
            <w:rFonts w:ascii="MS Gothic" w:eastAsia="MS Gothic" w:hAnsi="MS Gothic" w:cs="Arial" w:hint="eastAsia"/>
          </w:rPr>
          <w:id w:val="10010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7 ans</w:t>
      </w:r>
    </w:p>
    <w:p>
      <w:pPr>
        <w:pStyle w:val="Heading2"/>
        <w:spacing w:after="160" w:before="240"/>
      </w:pPr>
      <w:r>
        <w:rPr>
          <w:rFonts w:ascii="Calibri" w:cs="Calibri" w:eastAsia="Calibri" w:hAnsi="Calibri"/>
          <w:b/>
          <w:bCs/>
          <w:color w:val="A8442B"/>
          <w:sz w:val="26"/>
          <w:szCs w:val="26"/>
        </w:rPr>
        <w:t xml:space="preserve">PARTIE 2 — Questions ouvertes (5 points chacune)</w:t>
      </w:r>
    </w:p>
    <w:p>
      <w:pPr>
        <w:spacing w:after="100" w:before="160"/>
      </w:pPr>
      <w:r>
        <w:rPr>
          <w:rFonts w:ascii="Calibri" w:cs="Calibri" w:eastAsia="Calibri" w:hAnsi="Calibri"/>
          <w:b/>
          <w:bCs/>
          <w:color w:val="6E1F14"/>
          <w:sz w:val="22"/>
          <w:szCs w:val="22"/>
        </w:rPr>
        <w:t xml:space="preserve">Question 1 : </w:t>
      </w:r>
      <w:r>
        <w:rPr>
          <w:rFonts w:ascii="Calibri" w:cs="Calibri" w:eastAsia="Calibri" w:hAnsi="Calibri"/>
          <w:b w:val="false"/>
          <w:bCs w:val="false"/>
          <w:i w:val="false"/>
          <w:iCs w:val="false"/>
          <w:color w:val="1A1A1A"/>
          <w:sz w:val="22"/>
          <w:szCs w:val="22"/>
        </w:rPr>
        <w:t xml:space="preserve">Quelles sont selon vous les 5 bonnes pratiques d'organisation comptable pour une TPE artisanale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pPr>
        <w:spacing w:after="160"/>
      </w:pPr>
    </w:p>
    <w:p>
      <w:pPr>
        <w:spacing w:after="100" w:before="160"/>
      </w:pPr>
      <w:r>
        <w:rPr>
          <w:rFonts w:ascii="Calibri" w:cs="Calibri" w:eastAsia="Calibri" w:hAnsi="Calibri"/>
          <w:b/>
          <w:bCs/>
          <w:color w:val="6E1F14"/>
          <w:sz w:val="22"/>
          <w:szCs w:val="22"/>
        </w:rPr>
        <w:t xml:space="preserve">Question 2 : </w:t>
      </w:r>
      <w:r>
        <w:rPr>
          <w:rFonts w:ascii="Calibri" w:cs="Calibri" w:eastAsia="Calibri" w:hAnsi="Calibri"/>
          <w:b w:val="false"/>
          <w:bCs w:val="false"/>
          <w:i w:val="false"/>
          <w:iCs w:val="false"/>
          <w:color w:val="1A1A1A"/>
          <w:sz w:val="22"/>
          <w:szCs w:val="22"/>
        </w:rPr>
        <w:t xml:space="preserve">Bilan de formation RS6485 : qu'avez-vous appris qui changera concrètement votre gestion d'entreprise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pPr>
        <w:spacing w:after="160"/>
      </w:pPr>
    </w:p>
    <w:p>
      <w:pPr>
        <w:pStyle w:val="Heading2"/>
        <w:spacing w:after="160" w:before="240"/>
      </w:pPr>
      <w:r>
        <w:rPr>
          <w:rFonts w:ascii="Calibri" w:cs="Calibri" w:eastAsia="Calibri" w:hAnsi="Calibri"/>
          <w:b/>
          <w:bCs/>
          <w:color w:val="A8442B"/>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442B" w:sz="4"/>
              <w:left w:val="single" w:color="A8442B" w:sz="4"/>
              <w:bottom w:val="single" w:color="A8442B" w:sz="4"/>
              <w:right w:val="single" w:color="A8442B" w:sz="4"/>
            </w:tcBorders>
            <w:shd w:fill="FBEEE9" w:color="auto" w:val="clear"/>
            <w:tcMar>
              <w:top w:type="dxa" w:w="150"/>
              <w:left w:type="dxa" w:w="200"/>
              <w:bottom w:type="dxa" w:w="150"/>
              <w:right w:type="dxa" w:w="200"/>
            </w:tcMar>
          </w:tcPr>
          <w:p>
            <w:r>
              <w:rPr>
                <w:rFonts w:ascii="Calibri" w:cs="Calibri" w:eastAsia="Calibri" w:hAnsi="Calibri"/>
                <w:b/>
                <w:bCs/>
                <w:color w:val="A8442B"/>
                <w:sz w:val="21"/>
                <w:szCs w:val="21"/>
              </w:rPr>
              <w:t xml:space="preserve">Scénario — </w:t>
            </w:r>
          </w:p>
          <w:p>
            <w:pPr>
              <w:spacing w:before="60"/>
            </w:pPr>
            <w:r>
              <w:rPr>
                <w:rFonts w:ascii="Calibri" w:cs="Calibri" w:eastAsia="Calibri" w:hAnsi="Calibri"/>
                <w:b w:val="false"/>
                <w:bCs w:val="false"/>
                <w:i/>
                <w:iCs/>
                <w:color w:val="1A1A1A"/>
                <w:sz w:val="21"/>
                <w:szCs w:val="21"/>
              </w:rPr>
              <w:t xml:space="preserve">Vous êtes en EI au régime réel simplifié avec un CA de 195 000 € et un bénéfice de 55 000 €. Votre expert-comptable vous propose de basculer en SASU pour réduire votre pression sociale. Il vous explique qu'en SASU vous pourriez vous verser 25 000 € de salaire et 20 000 € de dividendes.</w:t>
            </w:r>
          </w:p>
        </w:tc>
      </w:tr>
    </w:tbl>
    <w:p>
      <w:pPr>
        <w:spacing w:after="140"/>
      </w:pPr>
    </w:p>
    <w:p>
      <w:pPr>
        <w:spacing w:after="120"/>
      </w:pPr>
      <w:r>
        <w:rPr>
          <w:rFonts w:ascii="Calibri" w:cs="Calibri" w:eastAsia="Calibri" w:hAnsi="Calibri"/>
          <w:b/>
          <w:bCs/>
          <w:color w:val="6E1F14"/>
          <w:sz w:val="22"/>
          <w:szCs w:val="22"/>
        </w:rPr>
        <w:t xml:space="preserve">Mission : </w:t>
      </w:r>
      <w:r>
        <w:rPr>
          <w:rFonts w:ascii="Calibri" w:cs="Calibri" w:eastAsia="Calibri" w:hAnsi="Calibri"/>
          <w:b w:val="false"/>
          <w:bCs w:val="false"/>
          <w:i w:val="false"/>
          <w:iCs w:val="false"/>
          <w:color w:val="1A1A1A"/>
          <w:sz w:val="22"/>
          <w:szCs w:val="22"/>
        </w:rPr>
        <w:t xml:space="preserve">Comparez les deux options (EI vs SASU) en termes de cotisations sociales et d'imposition (utilisez les taux simplifiés : cotisations EI ~45% du bénéfice ; salaire SASU ~80% de charges patronales/salariales ; dividendes SASU : 30% flat tax).</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r>
              <w:t xml:space="preserve">L'évaluation montre une compréhension rigoureuse des équilibres financiers de la TPE. Les propositions d'optimisation de trésorerie et le plan d'action commercial sont réalistes et adaptés à la structure étudiée.</w:t>
            </w:r>
          </w:p>
          <w:p>
            <w:pPr>
              <w:spacing w:after="220"/>
            </w:pPr>
            <w:r>
              <w:rPr>
                <w:sz w:val="22"/>
                <w:szCs w:val="22"/>
              </w:rPr>
              <w:t xml:space="preserve"/>
            </w:r>
            <w:r>
              <w:t xml:space="preserve">L'évaluation montre une compréhension rigoureuse des équilibres financiers de la TPE. Les propositions d'optimisation de trésorerie et le plan d'action commercial sont réalistes et adaptés à la structure étudiée.</w:t>
            </w:r>
          </w:p>
          <w:p>
            <w:pPr>
              <w:spacing w:after="220"/>
            </w:pPr>
            <w:r>
              <w:rPr>
                <w:sz w:val="22"/>
                <w:szCs w:val="22"/>
              </w:rPr>
              <w:t xml:space="preserve"/>
            </w:r>
            <w:r>
              <w:t xml:space="preserve">L'évaluation montre une compréhension rigoureuse des équilibres financiers de la TPE. Les propositions d'optimisation de trésorerie et le plan d'action commercial sont réalistes et adaptés à la structure étudiée.</w:t>
            </w:r>
          </w:p>
          <w:p>
            <w:pPr>
              <w:spacing w:after="220"/>
            </w:pPr>
            <w:r>
              <w:rPr>
                <w:sz w:val="22"/>
                <w:szCs w:val="22"/>
              </w:rPr>
              <w:t xml:space="preserve"/>
            </w:r>
          </w:p>
        </w:tc>
      </w:tr>
    </w:tbl>
    <w:sectPr>
      <w:headerReference w:type="default" r:id="rId7"/>
      <w:footerReference w:type="default" r:id="rId8"/>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2CE" w:sz="4" w:space="4"/>
      </w:pBdr>
      <w:jc w:val="center"/>
    </w:pPr>
    <w:r>
      <w:rPr>
        <w:rFonts w:ascii="Calibri" w:cs="Calibri" w:eastAsia="Calibri" w:hAnsi="Calibri"/>
        <w:color w:val="6B7280"/>
        <w:sz w:val="16"/>
        <w:szCs w:val="16"/>
      </w:rPr>
      <w:t xml:space="preserve">Proforma Institut — RS6485 Comptabilité TPE   |   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E" w:sz="4" w:space="4"/>
      </w:pBdr>
      <w:jc w:val="right"/>
    </w:pPr>
    <w:r>
      <w:rPr>
        <w:rFonts w:ascii="Calibri" w:cs="Calibri" w:eastAsia="Calibri" w:hAnsi="Calibri"/>
        <w:i/>
        <w:iCs/>
        <w:color w:val="6B7280"/>
        <w:sz w:val="16"/>
        <w:szCs w:val="16"/>
      </w:rPr>
      <w:t xml:space="preserve">RS6485 — Évaluations Finales — Comptabilité TPE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2026-07-11T18:34:36.528Z</dcterms:created>
  <dcterms:modified xsi:type="dcterms:W3CDTF">2026-07-11T18:34:36.528Z</dcterms:modified>
</cp:coreProperties>
</file>

<file path=docProps/custom.xml><?xml version="1.0" encoding="utf-8"?>
<Properties xmlns="http://schemas.openxmlformats.org/officeDocument/2006/custom-properties" xmlns:vt="http://schemas.openxmlformats.org/officeDocument/2006/docPropsVTypes"/>
</file>