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RS6485 — Formation Comptabilité pour TPE</w:t>
      </w:r>
    </w:p>
    <w:p>
      <w:pPr>
        <w:spacing w:after="500"/>
        <w:jc w:val="center"/>
      </w:pPr>
      <w:r>
        <w:rPr>
          <w:rFonts w:ascii="Calibri" w:cs="Calibri" w:eastAsia="Calibri" w:hAnsi="Calibri"/>
          <w:i/>
          <w:iCs/>
          <w:color w:val="A8442B"/>
          <w:sz w:val="24"/>
          <w:szCs w:val="24"/>
        </w:rPr>
        <w:t xml:space="preserve">Recueil des évaluations intermédiaires (5 modules)</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RS6485 — Comptabilité TPE</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r>
        <w:t xml:space="preserve">Candidat CANDIDAT</w:t>
      </w: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Documents Comptables Fondamentaux</w:t>
      </w:r>
    </w:p>
    <w:p>
      <w:pPr>
        <w:spacing w:after="160"/>
      </w:pPr>
      <w:r>
        <w:rPr>
          <w:rFonts w:ascii="Calibri" w:cs="Calibri" w:eastAsia="Calibri" w:hAnsi="Calibri"/>
          <w:i/>
          <w:iCs/>
          <w:color w:val="6B7280"/>
          <w:sz w:val="20"/>
          <w:szCs w:val="20"/>
        </w:rPr>
        <w:t xml:space="preserve">Bilan, compte de résultat, PCG, trésorerie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Qu'est-ce que le bilan comptable d'une entreprise ?</w:t>
      </w:r>
    </w:p>
    <w:p>
      <w:pPr>
        <w:spacing w:after="40"/>
        <w:ind w:left="40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récapitulatif des recettes de l'année</w:t>
      </w:r>
    </w:p>
    <w:p>
      <w:pPr>
        <w:spacing w:after="40"/>
        <w:ind w:left="40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 document qui photographie le patrimoine de l'entreprise à un instant T</w:t>
      </w:r>
    </w:p>
    <w:p>
      <w:pPr>
        <w:spacing w:after="40"/>
        <w:ind w:left="40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tableau des charges mensuelles</w:t>
      </w:r>
    </w:p>
    <w:p>
      <w:pPr>
        <w:spacing w:after="40"/>
        <w:ind w:left="40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déclaration de TVA annuelle</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Dans le Plan Comptable Général (PCG), les comptes de classe 6 correspondent à :</w:t>
      </w:r>
    </w:p>
    <w:p>
      <w:pPr>
        <w:spacing w:after="40"/>
        <w:ind w:left="40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Les immobilisations</w:t>
      </w:r>
    </w:p>
    <w:p>
      <w:pPr>
        <w:spacing w:after="40"/>
        <w:ind w:left="40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Les capitaux propres</w:t>
      </w:r>
    </w:p>
    <w:p>
      <w:pPr>
        <w:spacing w:after="40"/>
        <w:ind w:left="40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Les charges</w:t>
      </w:r>
    </w:p>
    <w:p>
      <w:pPr>
        <w:spacing w:after="40"/>
        <w:ind w:left="40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produits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Quel document comptable montre si l'entreprise a réalisé un bénéfice ou une perte sur l'année ?</w:t>
      </w:r>
    </w:p>
    <w:p>
      <w:pPr>
        <w:spacing w:after="40"/>
        <w:ind w:left="40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bilan</w:t>
      </w:r>
    </w:p>
    <w:p>
      <w:pPr>
        <w:spacing w:after="40"/>
        <w:ind w:left="40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compte de résultat</w:t>
      </w:r>
    </w:p>
    <w:p>
      <w:pPr>
        <w:spacing w:after="40"/>
        <w:ind w:left="40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grand livre</w:t>
      </w:r>
    </w:p>
    <w:p>
      <w:pPr>
        <w:spacing w:after="40"/>
        <w:ind w:left="40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journal</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La trésorerie d'une entreprise se calcule ainsi :</w:t>
      </w:r>
    </w:p>
    <w:p>
      <w:pPr>
        <w:spacing w:after="40"/>
        <w:ind w:left="40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Chiffre d'affaires - Charges</w:t>
      </w:r>
    </w:p>
    <w:p>
      <w:pPr>
        <w:spacing w:after="40"/>
        <w:ind w:left="40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Actif circulant - Dettes à court terme</w:t>
      </w:r>
    </w:p>
    <w:p>
      <w:pPr>
        <w:spacing w:after="40"/>
        <w:ind w:left="40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Encaissements - Décaissements</w:t>
      </w:r>
    </w:p>
    <w:p>
      <w:pPr>
        <w:spacing w:after="40"/>
        <w:ind w:left="40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Bénéfice net - Impôts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Dans un bilan, les 'capitaux propres' représentent :</w:t>
      </w:r>
    </w:p>
    <w:p>
      <w:pPr>
        <w:spacing w:after="40"/>
        <w:ind w:left="40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Les dettes auprès des banques</w:t>
      </w:r>
    </w:p>
    <w:p>
      <w:pPr>
        <w:spacing w:after="40"/>
        <w:ind w:left="40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 valeur des machines et équipements</w:t>
      </w:r>
    </w:p>
    <w:p>
      <w:pPr>
        <w:spacing w:after="40"/>
        <w:ind w:left="40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Ce qui appartient vraiment au propriétaire (apports + bénéfices accumulés)</w:t>
      </w:r>
    </w:p>
    <w:p>
      <w:pPr>
        <w:spacing w:after="40"/>
        <w:ind w:left="40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stock de matériel</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Expliquez en vos propres mots la différence entre le bilan et le compte de résultat.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Dans votre activité de plombier, quels éléments feraient partie de l'actif de votre bilan ? Citez au moins 4 exemples.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expert-comptable vous remet votre bilan annuel. Vous y trouvez : Actif total 85 000 €. Dettes fournisseurs 8 000 €. Emprunt bancaire restant 22 000 €. Capitaux propres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les capitaux propres et expliquez ce que ce chiffre signifie pour votre entreprise.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montant des capitaux propres est calculé par la formule : Capitaux Propres = Actif Total - Dettes (Fournisseurs + Emprunts). Soit : 96 000 € - (11 000 € + 27 000 €) = 58 000 €. Ce résultat indique une excellente solidité financière : l'entreprise finance plus de 60% de ses actifs par ses fonds propres, ce qui garantit une forte autonomie financière vis-à-vis des tiers.</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2 — Opérations Comptables Courantes</w:t>
      </w:r>
    </w:p>
    <w:p>
      <w:pPr>
        <w:spacing w:after="160"/>
      </w:pPr>
      <w:r>
        <w:rPr>
          <w:rFonts w:ascii="Calibri" w:cs="Calibri" w:eastAsia="Calibri" w:hAnsi="Calibri"/>
          <w:i/>
          <w:iCs/>
          <w:color w:val="6B7280"/>
          <w:sz w:val="20"/>
          <w:szCs w:val="20"/>
        </w:rPr>
        <w:t xml:space="preserve">TVA, mentions de facture, journaux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La TVA que vous collectez auprès de vos clients et la TVA que vous payez à vos fournisseurs s'appellent respectivement :</w:t>
      </w:r>
    </w:p>
    <w:p>
      <w:pPr>
        <w:spacing w:after="40"/>
        <w:ind w:left="40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TVA à payer et TVA à recevoir</w:t>
      </w:r>
    </w:p>
    <w:p>
      <w:pPr>
        <w:spacing w:after="40"/>
        <w:ind w:left="40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TVA collectée et TVA déductible</w:t>
      </w:r>
    </w:p>
    <w:p>
      <w:pPr>
        <w:spacing w:after="40"/>
        <w:ind w:left="40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TVA normale et TVA réduite</w:t>
      </w:r>
    </w:p>
    <w:p>
      <w:pPr>
        <w:spacing w:after="40"/>
        <w:ind w:left="40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TVA pro et TVA perso</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Le taux de TVA applicable pour des travaux de rénovation en logement de plus de 2 ans est :</w:t>
      </w:r>
    </w:p>
    <w:p>
      <w:pPr>
        <w:spacing w:after="40"/>
        <w:ind w:left="40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20%</w:t>
      </w:r>
    </w:p>
    <w:p>
      <w:pPr>
        <w:spacing w:after="40"/>
        <w:ind w:left="40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10%</w:t>
      </w:r>
    </w:p>
    <w:p>
      <w:pPr>
        <w:spacing w:after="40"/>
        <w:ind w:left="40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5,5%</w:t>
      </w:r>
    </w:p>
    <w:p>
      <w:pPr>
        <w:spacing w:after="40"/>
        <w:ind w:left="40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0% (exonéré)</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Quelle mention est OBLIGATOIRE sur toute facture émise ?</w:t>
      </w:r>
    </w:p>
    <w:p>
      <w:pPr>
        <w:spacing w:after="40"/>
        <w:ind w:left="40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logo de l'entreprise</w:t>
      </w:r>
    </w:p>
    <w:p>
      <w:pPr>
        <w:spacing w:after="40"/>
        <w:ind w:left="40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 date d'échéance de paiement</w:t>
      </w:r>
    </w:p>
    <w:p>
      <w:pPr>
        <w:spacing w:after="40"/>
        <w:ind w:left="40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numéro de SIREN de l'émetteur</w:t>
      </w:r>
    </w:p>
    <w:p>
      <w:pPr>
        <w:spacing w:after="40"/>
        <w:ind w:left="40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signature manuscrite du client</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Un 'journal d'achats' en comptabilité enregistre :</w:t>
      </w:r>
    </w:p>
    <w:p>
      <w:pPr>
        <w:spacing w:after="40"/>
        <w:ind w:left="40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Les ventes réalisées aux clients</w:t>
      </w:r>
    </w:p>
    <w:p>
      <w:pPr>
        <w:spacing w:after="40"/>
        <w:ind w:left="40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Les achats de fournitures et marchandises auprès des fournisseurs</w:t>
      </w:r>
    </w:p>
    <w:p>
      <w:pPr>
        <w:spacing w:after="40"/>
        <w:ind w:left="40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Les salaires payés aux employés</w:t>
      </w:r>
    </w:p>
    <w:p>
      <w:pPr>
        <w:spacing w:after="40"/>
        <w:ind w:left="40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impôts versés à l'État</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Le 'délai de paiement' légal maximum entre professionnels (B2B) est de :</w:t>
      </w:r>
    </w:p>
    <w:p>
      <w:pPr>
        <w:spacing w:after="40"/>
        <w:ind w:left="40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15 jours</w:t>
      </w:r>
    </w:p>
    <w:p>
      <w:pPr>
        <w:spacing w:after="40"/>
        <w:ind w:left="40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30 jours</w:t>
      </w:r>
    </w:p>
    <w:p>
      <w:pPr>
        <w:spacing w:after="40"/>
        <w:ind w:left="40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60 jours</w:t>
      </w:r>
    </w:p>
    <w:p>
      <w:pPr>
        <w:spacing w:after="40"/>
        <w:ind w:left="40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90 jours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Expliquez le mécanisme de la TVA : comment fonctionne-t-elle pour une TPE artisanale comme la vôtre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Quelles sont les 5 mentions obligatoires minimum sur une facture que vous émettez à un client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avez réalisé ces opérations en janvier : Ventes de travaux = 12 500 € HT (TVA 10%). Achats fournitures = 3 200 € HT (TVA 20%). Achat carburant = 400 € HT (TVA 20%). Achat outillage = 800 € HT (TVA 20%).</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la TVA collectée, la TVA déductible et la TVA à reverser à l'État pour janvier.</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montant des capitaux propres est calculé par la formule : Capitaux Propres = Actif Total - Dettes (Fournisseurs + Emprunts). Soit : 96 000 € - (11 000 € + 27 000 €) = 58 000 €. Ce résultat indique une excellente solidité financière : l'entreprise finance plus de 60% de ses actifs par ses fonds propres, ce qui garantit une forte autonomie financière vis-à-vis des tiers.</w:t>
            </w:r>
          </w:p>
          <w:p>
            <w:pPr>
              <w:spacing w:after="220"/>
            </w:pPr>
            <w:r>
              <w:rPr>
                <w:sz w:val="22"/>
                <w:szCs w:val="22"/>
              </w:rPr>
              <w:t xml:space="preserve"/>
            </w:r>
            <w:r>
              <w:t xml:space="preserve">Calculs de TVA pour février : 
1) TVA collectée (ventes) : 14 800 € * 10% = 1 480 €. 
2) TVA déductible (achats) : (2 600 € + 950 € + 310 €) * 20% = 3 860 € * 20% = 772 €. 
3) TVA à reverser à l'État : TVA Collectée - TVA Déductible = 1 480 € - 772 € = 708 €. L'entreprise devra donc déclarer et télétransmettre un montant net de 708 € de TVA pour le mois de février.</w:t>
            </w:r>
          </w:p>
          <w:p>
            <w:pPr>
              <w:spacing w:after="220"/>
            </w:pPr>
            <w:r>
              <w:rPr>
                <w:sz w:val="22"/>
                <w:szCs w:val="22"/>
              </w:rPr>
              <w:t xml:space="preserve"/>
            </w:r>
            <w:r>
              <w:t xml:space="preserve">L'achat du véhicule (amorti sur 5 ans soit 3 300 €/an) et le coût de l'alternant (8 640 €/an) augmentent les charges fixes de 11 940 €/an. Le taux de marge actuel est de 25% (43 000 € de résultat / 172 000 € de CA). Pour autofinancer cet investissement sans dégrader le résultat de l'entreprise, un chiffre d'affaires supplémentaire de 47 760 € par an est nécessaire (calcul : 11 940 € / 25% de marge).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3 — Pilotage Prévisionnel</w:t>
      </w:r>
    </w:p>
    <w:p>
      <w:pPr>
        <w:spacing w:after="160"/>
      </w:pPr>
      <w:r>
        <w:rPr>
          <w:rFonts w:ascii="Calibri" w:cs="Calibri" w:eastAsia="Calibri" w:hAnsi="Calibri"/>
          <w:i/>
          <w:iCs/>
          <w:color w:val="6B7280"/>
          <w:sz w:val="20"/>
          <w:szCs w:val="20"/>
        </w:rPr>
        <w:t xml:space="preserve">BFR, seuil de rentabilité, budget prévisionnel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Le 'Besoin en Fonds de Roulement' (BFR) pour une TPE de services, c'est principalement :</w:t>
      </w:r>
    </w:p>
    <w:p>
      <w:pPr>
        <w:spacing w:after="40"/>
        <w:ind w:left="40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L'argent immobilisé dans les stocks et les créances clients, moins les dettes fournisseurs</w:t>
      </w:r>
    </w:p>
    <w:p>
      <w:pPr>
        <w:spacing w:after="40"/>
        <w:ind w:left="40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montant de l'emprunt bancaire</w:t>
      </w:r>
    </w:p>
    <w:p>
      <w:pPr>
        <w:spacing w:after="40"/>
        <w:ind w:left="40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budget de fonctionnement mensuel</w:t>
      </w:r>
    </w:p>
    <w:p>
      <w:pPr>
        <w:spacing w:after="40"/>
        <w:ind w:left="40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valeur des équipements professionnels</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Le seuil de rentabilité (ou point mort) d'une entreprise est :</w:t>
      </w:r>
    </w:p>
    <w:p>
      <w:pPr>
        <w:spacing w:after="40"/>
        <w:ind w:left="40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moment où elle commence à faire des bénéfices</w:t>
      </w:r>
    </w:p>
    <w:p>
      <w:pPr>
        <w:spacing w:after="40"/>
        <w:ind w:left="40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chiffre d'affaires minimum pour couvrir toutes ses charges</w:t>
      </w:r>
    </w:p>
    <w:p>
      <w:pPr>
        <w:spacing w:after="40"/>
        <w:ind w:left="40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montant minimal de l'apport personnel</w:t>
      </w:r>
    </w:p>
    <w:p>
      <w:pPr>
        <w:spacing w:after="40"/>
        <w:ind w:left="40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date limite de déclaration fiscale</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Un budget prévisionnel se construit généralement pour quelle période ?</w:t>
      </w:r>
    </w:p>
    <w:p>
      <w:pPr>
        <w:spacing w:after="40"/>
        <w:ind w:left="40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semaine suivante</w:t>
      </w:r>
    </w:p>
    <w:p>
      <w:pPr>
        <w:spacing w:after="40"/>
        <w:ind w:left="40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mois suivant</w:t>
      </w:r>
    </w:p>
    <w:p>
      <w:pPr>
        <w:spacing w:after="40"/>
        <w:ind w:left="40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L'année à venir (12 mois)</w:t>
      </w:r>
    </w:p>
    <w:p>
      <w:pPr>
        <w:spacing w:after="40"/>
        <w:ind w:left="40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10 prochaines années</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Dans un prévisionnel, les 'charges fixes' d'une TPE artisanale sont :</w:t>
      </w:r>
    </w:p>
    <w:p>
      <w:pPr>
        <w:spacing w:after="40"/>
        <w:ind w:left="40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Les achats de fournitures qui varient selon les chantiers</w:t>
      </w:r>
    </w:p>
    <w:p>
      <w:pPr>
        <w:spacing w:after="40"/>
        <w:ind w:left="40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Les loyers, assurances, abonnements qui ne changent pas selon l'activité</w:t>
      </w:r>
    </w:p>
    <w:p>
      <w:pPr>
        <w:spacing w:after="40"/>
        <w:ind w:left="40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Les impôts sur le bénéfice annuel</w:t>
      </w:r>
    </w:p>
    <w:p>
      <w:pPr>
        <w:spacing w:after="40"/>
        <w:ind w:left="40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heures supplémentaires des employés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Un 'tableau de flux de trésorerie' prévisionnel permet de :</w:t>
      </w:r>
    </w:p>
    <w:p>
      <w:pPr>
        <w:spacing w:after="40"/>
        <w:ind w:left="40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Calculer le bénéfice annuel</w:t>
      </w:r>
    </w:p>
    <w:p>
      <w:pPr>
        <w:spacing w:after="40"/>
        <w:ind w:left="40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Anticiper les périodes de tension de trésorerie mois par mois</w:t>
      </w:r>
    </w:p>
    <w:p>
      <w:pPr>
        <w:spacing w:after="40"/>
        <w:ind w:left="40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Valoriser l'entreprise en cas de cession</w:t>
      </w:r>
    </w:p>
    <w:p>
      <w:pPr>
        <w:spacing w:after="40"/>
        <w:ind w:left="40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Calculer les amortissements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Qu'est-ce que le seuil de rentabilité et comment le calculez-vous pour votre activité ? Expliquez avec vos chiffres.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Pourquoi un artisan indépendant doit-il établir un budget prévisionnel annuel même s'il a un bon comptable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envisagez d'investir dans un véhicule utilitaire supplémentaire (18 000 €) et d'embaucher un apprenti (coût employeur : 850 €/mois). Votre CA actuel est de 185 000 €, vos charges actuelles de 141 000 €.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Évaluez la viabilité de cet investissement en calculant l'impact sur votre résultat et le CA supplémentaire nécessaire.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résultat net mensuel s'élève à : 16 400 € (CA) - (6 100 € + 4 300 € + 3 800 €) = 2 200 €. La marge brute est de 6 000 € (CA - Fournitures - Main d'œuvre), soit un taux de marge brute de 36.58%. On constate un écart défavorable de -2 600 € sur le CA (-13.7% par rapport à l'objectif). Bien que le résultat reste positif, il convient de surveiller la baisse du chiffre d'affaires et d'agir commercialement.</w:t>
            </w:r>
          </w:p>
          <w:p>
            <w:pPr>
              <w:spacing w:after="220"/>
            </w:pPr>
            <w:r>
              <w:rPr>
                <w:sz w:val="22"/>
                <w:szCs w:val="22"/>
              </w:rPr>
              <w:t xml:space="preserve"/>
            </w:r>
          </w:p>
          <w:p>
            <w:pPr>
              <w:spacing w:after="220"/>
            </w:pPr>
            <w:r>
              <w:rPr>
                <w:sz w:val="22"/>
                <w:szCs w:val="22"/>
              </w:rPr>
              <w:t xml:space="preserve"/>
            </w:r>
            <w:r>
              <w:t xml:space="preserve">EI : Avantages (gestion très simple, coût de création nul), Inconvénient (responsabilité juridique illimitée sur le patrimoine personnel). SARL : Avantages (partage des risques à plusieurs associés, crédibilité bancaire), Inconvénient (formalités de gestion plus lourdes). SASU : Avantages (protection du patrimoine personnel, président assimilé-salarié), Inconvénient (charges sociales de 78% sur salaire brut). Choix recommandé : la SASU pour la protection du patrimoine.</w:t>
            </w:r>
          </w:p>
          <w:p>
            <w:pPr>
              <w:spacing w:after="220"/>
            </w:pPr>
            <w:r>
              <w:rPr>
                <w:sz w:val="22"/>
                <w:szCs w:val="22"/>
              </w:rPr>
              <w:t xml:space="preserve"/>
            </w:r>
            <w:r>
              <w:t xml:space="preserve">Pour régulariser la facture impayée de 1 980 € TTC : 1) Enregistrer immédiatement la facture d'achat dans le journal des achats (débit 607 pour le HT, débit 44566 pour la TVA, crédit 401 pour le TTC). 2) Effectuer le rapprochement avec le fournisseur. 3) Procéder au paiement par virement et enregistrer le flux bancaire.</w:t>
            </w:r>
          </w:p>
          <w:p>
            <w:pPr>
              <w:spacing w:after="220"/>
            </w:pPr>
            <w:r>
              <w:rPr>
                <w:sz w:val="22"/>
                <w:szCs w:val="22"/>
              </w:rPr>
              <w:t xml:space="preserve"/>
            </w:r>
            <w:r>
              <w:t xml:space="preserve">Solde banque initial (19 500 €) + Encaissements (2 800 € + 5 200 €) - Charges fixes (3 900 €) = 23 600 € au 31 juillet. La fermeture de 2 semaines en juillet est donc tout à fait réalisable financièrement, car la trésorerie reste largement positive avec une marge de sécurité confortable.</w:t>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4 — Tableau de Bord et Contrôle de Gestion</w:t>
      </w:r>
    </w:p>
    <w:p>
      <w:pPr>
        <w:spacing w:after="160"/>
      </w:pPr>
      <w:r>
        <w:rPr>
          <w:rFonts w:ascii="Calibri" w:cs="Calibri" w:eastAsia="Calibri" w:hAnsi="Calibri"/>
          <w:i/>
          <w:iCs/>
          <w:color w:val="6B7280"/>
          <w:sz w:val="20"/>
          <w:szCs w:val="20"/>
        </w:rPr>
        <w:t xml:space="preserve">KPIs, ratios, tableau de bord mensuel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Un 'ratio de rentabilité' compare généralement :</w:t>
      </w:r>
    </w:p>
    <w:p>
      <w:pPr>
        <w:spacing w:after="40"/>
        <w:ind w:left="40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nombre de clients vs le nombre de chantiers</w:t>
      </w:r>
    </w:p>
    <w:p>
      <w:pPr>
        <w:spacing w:after="40"/>
        <w:ind w:left="40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bénéfice net par rapport au chiffre d'affaires ou aux capitaux propres</w:t>
      </w:r>
    </w:p>
    <w:p>
      <w:pPr>
        <w:spacing w:after="40"/>
        <w:ind w:left="40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nombre d'heures travaillées par employé</w:t>
      </w:r>
    </w:p>
    <w:p>
      <w:pPr>
        <w:spacing w:after="40"/>
        <w:ind w:left="40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surface du local professionnel</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Qu'est-ce qu'un indicateur 'KPI' dans le tableau de bord d'un artisan ?</w:t>
      </w:r>
    </w:p>
    <w:p>
      <w:pPr>
        <w:spacing w:after="40"/>
        <w:ind w:left="40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 logiciel de comptabilité</w:t>
      </w:r>
    </w:p>
    <w:p>
      <w:pPr>
        <w:spacing w:after="40"/>
        <w:ind w:left="40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 indicateur clé de performance mesurant l'atteinte des objectifs</w:t>
      </w:r>
    </w:p>
    <w:p>
      <w:pPr>
        <w:spacing w:after="40"/>
        <w:ind w:left="40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Un type de contrat de travail</w:t>
      </w:r>
    </w:p>
    <w:p>
      <w:pPr>
        <w:spacing w:after="40"/>
        <w:ind w:left="40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Une déclaration fiscale trimestrielle</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Le taux de marge brute d'une entreprise se calcule par :</w:t>
      </w:r>
    </w:p>
    <w:p>
      <w:pPr>
        <w:spacing w:after="40"/>
        <w:ind w:left="40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(CA - Charges totales) / CA x 100</w:t>
      </w:r>
    </w:p>
    <w:p>
      <w:pPr>
        <w:spacing w:after="40"/>
        <w:ind w:left="40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(CA - Coût des matières et fournitures) / CA x 100</w:t>
      </w:r>
    </w:p>
    <w:p>
      <w:pPr>
        <w:spacing w:after="40"/>
        <w:ind w:left="40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Bénéfice net / Capitaux propres x 100</w:t>
      </w:r>
    </w:p>
    <w:p>
      <w:pPr>
        <w:spacing w:after="40"/>
        <w:ind w:left="40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CA / Nombre de chantiers x 100</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Dans un tableau de bord, il est recommandé de suivre les indicateurs :</w:t>
      </w:r>
    </w:p>
    <w:p>
      <w:pPr>
        <w:spacing w:after="40"/>
        <w:ind w:left="40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Uniquement annuellement lors du bilan</w:t>
      </w:r>
    </w:p>
    <w:p>
      <w:pPr>
        <w:spacing w:after="40"/>
        <w:ind w:left="40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Mensuellement pour agir rapidement en cas d'écart</w:t>
      </w:r>
    </w:p>
    <w:p>
      <w:pPr>
        <w:spacing w:after="40"/>
        <w:ind w:left="40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Seulement quand les résultats baissent</w:t>
      </w:r>
    </w:p>
    <w:p>
      <w:pPr>
        <w:spacing w:after="40"/>
        <w:ind w:left="40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Quotidiennement sans exception</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Le 'délai moyen de règlement clients' (DRC) mesure :</w:t>
      </w:r>
    </w:p>
    <w:p>
      <w:pPr>
        <w:spacing w:after="40"/>
        <w:ind w:left="40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temps moyen entre la réalisation du chantier et l'émission de la facture</w:t>
      </w:r>
    </w:p>
    <w:p>
      <w:pPr>
        <w:spacing w:after="40"/>
        <w:ind w:left="40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temps moyen entre la facture et l'encaissement du paiement client</w:t>
      </w:r>
    </w:p>
    <w:p>
      <w:pPr>
        <w:spacing w:after="40"/>
        <w:ind w:left="40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durée moyenne d'un chantier</w:t>
      </w:r>
    </w:p>
    <w:p>
      <w:pPr>
        <w:spacing w:after="40"/>
        <w:ind w:left="40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délai de garantie des travaux</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Quels sont les 5 indicateurs que vous souhaitez suivre dans votre tableau de bord mensuel ? Justifiez chaque choix.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Quelle différence faites-vous entre 'contrôle de gestion' et 'comptabilité'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tableau de bord de mars indique : CA = 18 200 € (objectif 20 000 €). Charges fournitures = 6 900 €. Main d'œuvre = 4 800 €. Charges fixes = 4 100 €.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le résultat du mois, le taux de marge brute et analysez l'écart par rapport à l'objectif.</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Taux de marge nette = (31 000 / 182 000) * 100 = 17.03%. ROE = (31 000 / 54 000) * 100 = 57.4%. BFR = (Stocks 3 900 + Créances 15 200) - Dettes 5 400 = 13 700 €. L'entreprise présente une excellente rentabilité financière (ROE élevé) et une gestion saine du besoin en fonds de roulement.</w:t>
            </w:r>
          </w:p>
          <w:p>
            <w:pPr>
              <w:spacing w:after="220"/>
            </w:pPr>
            <w:r>
              <w:rPr>
                <w:sz w:val="22"/>
                <w:szCs w:val="22"/>
              </w:rPr>
              <w:t xml:space="preserve"/>
            </w:r>
            <w:r>
              <w:t xml:space="preserve">En EI : Cotisations = 49 000 * 45% = 22 050 €. En SASU : Charges sociales sur salaire = 22 000 * 78% = 17 160 € ; flat tax sur dividendes = 18 000 * 30% = 5 400 € ; total SASU = 22 560 €. La différence financière est minime (510 €), mais la SASU offre une responsabilité limitée et une meilleure protection sociale.</w:t>
            </w:r>
          </w:p>
          <w:p>
            <w:pPr>
              <w:spacing w:after="220"/>
            </w:pPr>
            <w:r>
              <w:rPr>
                <w:sz w:val="22"/>
                <w:szCs w:val="22"/>
              </w:rPr>
              <w:t xml:space="preserve"/>
            </w:r>
            <w:r>
              <w:t xml:space="preserve">La comparaison montre que la SASU est préférable à l'EI pour ce niveau d'activité, car elle permet de sécuriser le patrimoine personnel du dirigeant tout en offrant la flexibilité nécessaire pour les futures embauches ou l'intégration d'associés.</w:t>
            </w:r>
          </w:p>
          <w:p>
            <w:pPr>
              <w:spacing w:after="220"/>
            </w:pPr>
            <w:r>
              <w:rPr>
                <w:sz w:val="22"/>
                <w:szCs w:val="22"/>
              </w:rPr>
              <w:t xml:space="preserve"/>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tc>
      </w:tr>
    </w:tbl>
    <w:p>
      <w:r>
        <w:br w:type="page"/>
      </w:r>
      <w:r>
        <w:t xml:space="preserve">L'évaluation montre une compréhension rigoureuse des équilibres financiers de la TPE. Les propositions d'optimisation de trésorerie et le plan d'action commercial sont réalistes et adaptés à la structure étudiée.</w:t>
      </w:r>
    </w:p>
    <w:p>
      <w:pPr>
        <w:pStyle w:val="Heading1"/>
        <w:spacing w:after="60" w:before="200"/>
      </w:pPr>
      <w:r>
        <w:rPr>
          <w:rFonts w:ascii="Calibri" w:cs="Calibri" w:eastAsia="Calibri" w:hAnsi="Calibri"/>
          <w:b/>
          <w:bCs/>
          <w:color w:val="6E1F14"/>
          <w:sz w:val="32"/>
          <w:szCs w:val="32"/>
        </w:rPr>
        <w:t xml:space="preserve">Module 5 — Statuts Juridiques et Organisation</w:t>
      </w:r>
    </w:p>
    <w:p>
      <w:pPr>
        <w:spacing w:after="160"/>
      </w:pPr>
      <w:r>
        <w:rPr>
          <w:rFonts w:ascii="Calibri" w:cs="Calibri" w:eastAsia="Calibri" w:hAnsi="Calibri"/>
          <w:i/>
          <w:iCs/>
          <w:color w:val="6B7280"/>
          <w:sz w:val="20"/>
          <w:szCs w:val="20"/>
        </w:rPr>
        <w:t xml:space="preserve">Micro-BIC, EI, SARL, SASU, rôle de l'expert-comptable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La micro-entreprise (anciennement auto-entrepreneur) impose un plafond de CA annuel pour les prestations de services de :</w:t>
      </w:r>
    </w:p>
    <w:p>
      <w:pPr>
        <w:spacing w:after="40"/>
        <w:ind w:left="400"/>
      </w:pPr>
      <w:sdt>
        <w:sdtPr>
          <w:rPr>
            <w:rFonts w:ascii="MS Gothic" w:eastAsia="MS Gothic" w:hAnsi="MS Gothic" w:cs="Arial" w:hint="eastAsia"/>
          </w:rPr>
          <w:id w:val="10008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36 800 €</w:t>
      </w:r>
    </w:p>
    <w:p>
      <w:pPr>
        <w:spacing w:after="40"/>
        <w:ind w:left="400"/>
      </w:pPr>
      <w:sdt>
        <w:sdtPr>
          <w:rPr>
            <w:rFonts w:ascii="MS Gothic" w:eastAsia="MS Gothic" w:hAnsi="MS Gothic" w:cs="Arial" w:hint="eastAsia"/>
          </w:rPr>
          <w:id w:val="10008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77 700 €</w:t>
      </w:r>
    </w:p>
    <w:p>
      <w:pPr>
        <w:spacing w:after="40"/>
        <w:ind w:left="400"/>
      </w:pPr>
      <w:sdt>
        <w:sdtPr>
          <w:rPr>
            <w:rFonts w:ascii="MS Gothic" w:eastAsia="MS Gothic" w:hAnsi="MS Gothic" w:cs="Arial" w:hint="eastAsia"/>
          </w:rPr>
          <w:id w:val="10008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188 700 €</w:t>
      </w:r>
    </w:p>
    <w:p>
      <w:pPr>
        <w:spacing w:after="40"/>
        <w:ind w:left="400"/>
      </w:pPr>
      <w:sdt>
        <w:sdtPr>
          <w:rPr>
            <w:rFonts w:ascii="MS Gothic" w:eastAsia="MS Gothic" w:hAnsi="MS Gothic" w:cs="Arial" w:hint="eastAsia"/>
          </w:rPr>
          <w:id w:val="10008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500 000 €</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En Entreprise Individuelle (EI) au régime réel, l'entrepreneur est imposé :</w:t>
      </w:r>
    </w:p>
    <w:p>
      <w:pPr>
        <w:spacing w:after="40"/>
        <w:ind w:left="400"/>
      </w:pPr>
      <w:sdt>
        <w:sdtPr>
          <w:rPr>
            <w:rFonts w:ascii="MS Gothic" w:eastAsia="MS Gothic" w:hAnsi="MS Gothic" w:cs="Arial" w:hint="eastAsia"/>
          </w:rPr>
          <w:id w:val="10008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À l'impôt sur les sociétés (IS)</w:t>
      </w:r>
    </w:p>
    <w:p>
      <w:pPr>
        <w:spacing w:after="40"/>
        <w:ind w:left="400"/>
      </w:pPr>
      <w:sdt>
        <w:sdtPr>
          <w:rPr>
            <w:rFonts w:ascii="MS Gothic" w:eastAsia="MS Gothic" w:hAnsi="MS Gothic" w:cs="Arial" w:hint="eastAsia"/>
          </w:rPr>
          <w:id w:val="10008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À l'impôt sur le revenu (IR) dans la catégorie BIC</w:t>
      </w:r>
    </w:p>
    <w:p>
      <w:pPr>
        <w:spacing w:after="40"/>
        <w:ind w:left="400"/>
      </w:pPr>
      <w:sdt>
        <w:sdtPr>
          <w:rPr>
            <w:rFonts w:ascii="MS Gothic" w:eastAsia="MS Gothic" w:hAnsi="MS Gothic" w:cs="Arial" w:hint="eastAsia"/>
          </w:rPr>
          <w:id w:val="10008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À un taux forfaitaire de 15%</w:t>
      </w:r>
    </w:p>
    <w:p>
      <w:pPr>
        <w:spacing w:after="40"/>
        <w:ind w:left="400"/>
      </w:pPr>
      <w:sdt>
        <w:sdtPr>
          <w:rPr>
            <w:rFonts w:ascii="MS Gothic" w:eastAsia="MS Gothic" w:hAnsi="MS Gothic" w:cs="Arial" w:hint="eastAsia"/>
          </w:rPr>
          <w:id w:val="10008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Il n'est pas imposable</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La principale caractéristique d'une SASU par rapport à une EI est :</w:t>
      </w:r>
    </w:p>
    <w:p>
      <w:pPr>
        <w:spacing w:after="40"/>
        <w:ind w:left="400"/>
      </w:pPr>
      <w:sdt>
        <w:sdtPr>
          <w:rPr>
            <w:rFonts w:ascii="MS Gothic" w:eastAsia="MS Gothic" w:hAnsi="MS Gothic" w:cs="Arial" w:hint="eastAsia"/>
          </w:rPr>
          <w:id w:val="10008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CA est illimité en SASU</w:t>
      </w:r>
    </w:p>
    <w:p>
      <w:pPr>
        <w:spacing w:after="40"/>
        <w:ind w:left="400"/>
      </w:pPr>
      <w:sdt>
        <w:sdtPr>
          <w:rPr>
            <w:rFonts w:ascii="MS Gothic" w:eastAsia="MS Gothic" w:hAnsi="MS Gothic" w:cs="Arial" w:hint="eastAsia"/>
          </w:rPr>
          <w:id w:val="10009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 responsabilité de l'entrepreneur est limitée aux apports en SASU</w:t>
      </w:r>
    </w:p>
    <w:p>
      <w:pPr>
        <w:spacing w:after="40"/>
        <w:ind w:left="400"/>
      </w:pPr>
      <w:sdt>
        <w:sdtPr>
          <w:rPr>
            <w:rFonts w:ascii="MS Gothic" w:eastAsia="MS Gothic" w:hAnsi="MS Gothic" w:cs="Arial" w:hint="eastAsia"/>
          </w:rPr>
          <w:id w:val="10009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SASU ne paie pas de TVA</w:t>
      </w:r>
    </w:p>
    <w:p>
      <w:pPr>
        <w:spacing w:after="40"/>
        <w:ind w:left="400"/>
      </w:pPr>
      <w:sdt>
        <w:sdtPr>
          <w:rPr>
            <w:rFonts w:ascii="MS Gothic" w:eastAsia="MS Gothic" w:hAnsi="MS Gothic" w:cs="Arial" w:hint="eastAsia"/>
          </w:rPr>
          <w:id w:val="10009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SASU est exonérée de cotisations sociales</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L'expert-comptable est obligatoire pour quelle forme juridique ?</w:t>
      </w:r>
    </w:p>
    <w:p>
      <w:pPr>
        <w:spacing w:after="40"/>
        <w:ind w:left="400"/>
      </w:pPr>
      <w:sdt>
        <w:sdtPr>
          <w:rPr>
            <w:rFonts w:ascii="MS Gothic" w:eastAsia="MS Gothic" w:hAnsi="MS Gothic" w:cs="Arial" w:hint="eastAsia"/>
          </w:rPr>
          <w:id w:val="10009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micro-entreprise</w:t>
      </w:r>
    </w:p>
    <w:p>
      <w:pPr>
        <w:spacing w:after="40"/>
        <w:ind w:left="400"/>
      </w:pPr>
      <w:sdt>
        <w:sdtPr>
          <w:rPr>
            <w:rFonts w:ascii="MS Gothic" w:eastAsia="MS Gothic" w:hAnsi="MS Gothic" w:cs="Arial" w:hint="eastAsia"/>
          </w:rPr>
          <w:id w:val="10009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L'entreprise individuelle au réel simplifié</w:t>
      </w:r>
    </w:p>
    <w:p>
      <w:pPr>
        <w:spacing w:after="40"/>
        <w:ind w:left="400"/>
      </w:pPr>
      <w:sdt>
        <w:sdtPr>
          <w:rPr>
            <w:rFonts w:ascii="MS Gothic" w:eastAsia="MS Gothic" w:hAnsi="MS Gothic" w:cs="Arial" w:hint="eastAsia"/>
          </w:rPr>
          <w:id w:val="10009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SARL de plus de 3 associés</w:t>
      </w:r>
    </w:p>
    <w:p>
      <w:pPr>
        <w:spacing w:after="40"/>
        <w:ind w:left="400"/>
      </w:pPr>
      <w:sdt>
        <w:sdtPr>
          <w:rPr>
            <w:rFonts w:ascii="MS Gothic" w:eastAsia="MS Gothic" w:hAnsi="MS Gothic" w:cs="Arial" w:hint="eastAsia"/>
          </w:rPr>
          <w:id w:val="10009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Toutes les formes juridiques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Le statut de conjoint collaborateur est utile lorsque :</w:t>
      </w:r>
    </w:p>
    <w:p>
      <w:pPr>
        <w:spacing w:after="40"/>
        <w:ind w:left="400"/>
      </w:pPr>
      <w:sdt>
        <w:sdtPr>
          <w:rPr>
            <w:rFonts w:ascii="MS Gothic" w:eastAsia="MS Gothic" w:hAnsi="MS Gothic" w:cs="Arial" w:hint="eastAsia"/>
          </w:rPr>
          <w:id w:val="10009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L'entrepreneur embauche son 1er salarié</w:t>
      </w:r>
    </w:p>
    <w:p>
      <w:pPr>
        <w:spacing w:after="40"/>
        <w:ind w:left="400"/>
      </w:pPr>
      <w:sdt>
        <w:sdtPr>
          <w:rPr>
            <w:rFonts w:ascii="MS Gothic" w:eastAsia="MS Gothic" w:hAnsi="MS Gothic" w:cs="Arial" w:hint="eastAsia"/>
          </w:rPr>
          <w:id w:val="10009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conjoint aide régulièrement dans l'entreprise sans être salarié</w:t>
      </w:r>
    </w:p>
    <w:p>
      <w:pPr>
        <w:spacing w:after="40"/>
        <w:ind w:left="400"/>
      </w:pPr>
      <w:sdt>
        <w:sdtPr>
          <w:rPr>
            <w:rFonts w:ascii="MS Gothic" w:eastAsia="MS Gothic" w:hAnsi="MS Gothic" w:cs="Arial" w:hint="eastAsia"/>
          </w:rPr>
          <w:id w:val="10009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L'entreprise dépasse le seuil de TVA</w:t>
      </w:r>
    </w:p>
    <w:p>
      <w:pPr>
        <w:spacing w:after="40"/>
        <w:ind w:left="400"/>
      </w:pPr>
      <w:sdt>
        <w:sdtPr>
          <w:rPr>
            <w:rFonts w:ascii="MS Gothic" w:eastAsia="MS Gothic" w:hAnsi="MS Gothic" w:cs="Arial" w:hint="eastAsia"/>
          </w:rPr>
          <w:id w:val="10010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On crée une holding</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Expliquez les avantages et inconvénients du régime micro-entreprise pour un artisan plombier.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Décrivez le rôle de votre expert-comptable et comment collaborer efficacement avec lui.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spacing w:after="16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activité de plombier se développe bien (CA 195 000 €). Vous souhaitez recruter un associé plombier-chauffagiste. Votre expert-comptable vous propose 3 options : 1) Rester en EI et embaucher comme salarié. 2) Passer en SARL à 2 associés. 3) Créer une SASU et le recruter comme salarié.</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Listez pour chaque option 2 avantages et 1 inconvénient majeur puis donnez votre préférence argumentée.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r>
              <w:t xml:space="preserve">L'évaluation montre une compréhension rigoureuse des équilibres financiers de la TPE. Les propositions d'optimisation de trésorerie et le plan d'action commercial sont réalistes et adaptés à la structure étudiée.</w:t>
            </w:r>
          </w:p>
          <w:p>
            <w:pPr>
              <w:spacing w:after="220"/>
            </w:pPr>
            <w:r>
              <w:rPr>
                <w:sz w:val="22"/>
                <w:szCs w:val="22"/>
              </w:rPr>
              <w:t xml:space="preserve"/>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RS6485 Comptabilité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RS6485 — Évaluations Intermédiaires — Comptabilité TPE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2026-07-11T18:34:36.312Z</dcterms:created>
  <dcterms:modified xsi:type="dcterms:W3CDTF">2026-07-11T18:34:36.317Z</dcterms:modified>
</cp:coreProperties>
</file>

<file path=docProps/custom.xml><?xml version="1.0" encoding="utf-8"?>
<Properties xmlns="http://schemas.openxmlformats.org/officeDocument/2006/custom-properties" xmlns:vt="http://schemas.openxmlformats.org/officeDocument/2006/docPropsVTypes"/>
</file>