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Réaliser les opérations comptables courantes d’une TPE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 au répertoire spécifique sous le numéro RS6485 (commission France Compétence du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21/12/2023</w:t>
      </w:r>
      <w:r w:rsidDel="00000000" w:rsidR="00000000" w:rsidRPr="00000000">
        <w:rPr>
          <w:rFonts w:ascii="Arial" w:cs="Arial" w:eastAsia="Arial" w:hAnsi="Arial"/>
          <w:color w:val="033e5f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Organisé par : PROFORMA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 du jury : [DATE_JURY]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Lieu : À distance (visioconférence)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A distance ✓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  <w:t>1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[NOM]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[PRENOM]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[VOIE_ACCES]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[NOTE_60]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[ADMIS]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[AJOURNE]</w:t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[NB_H]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[NB_F]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[NB_TOTAL]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[NB_H_RECUS]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[NB_F_RECUES]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[NB_TOTAL_RECUS]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rebuchet MS" w:cs="Trebuchet MS" w:eastAsia="Trebuchet MS" w:hAnsi="Trebuchet MS"/>
              </w:rPr>
            </w:pPr>
            <w:r>
              <w:t>Kaina Nassim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 – Session à distance conforme</w:t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</w:rPr>
            </w:pPr>
            <w:r>
              <w:t>Tom FOURNAISE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du président du jury : M. Kaina Nassim, Responsable PROFORMA INSTITUT</w:t>
      </w:r>
      <w:r w:rsidDel="00000000" w:rsidR="00000000" w:rsidRPr="00000000">
        <w:rPr>
          <w:rFonts w:ascii="Trebuchet MS" w:cs="Trebuchet MS" w:eastAsia="Trebuchet MS" w:hAnsi="Trebuchet MS"/>
          <w:i w:val="1"/>
          <w:rtl w:val="0"/>
        </w:rPr>
        <w:t xml:space="preserve"> (Civilité, nom et fonction)</w:t>
        <w:tab/>
        <w:t xml:space="preserve">      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Cachet de l’organisme</w:t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CONTROLE DU RESPONSABLE DE L’ORGANISATION DES EPREUVES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 : [DATE_JURY]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rebuchet MS"/>
  <w:font w:name="Arial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o4cfQ71UZdpSomwdgfGUYw0Pg==">CgMxLjAyCGguZ2pkZ3hzOAByITFkU2xRakd5ZWFHalU0MjBEUHRpUG1Md1BVcE5oZ3N2cw==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