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83B" w:rsidRDefault="0053583B" w:rsidP="005362F9">
      <w:pPr>
        <w:tabs>
          <w:tab w:val="left" w:pos="1527"/>
        </w:tabs>
      </w:pPr>
      <w:r>
        <w:t>Q1:R program about log return</w:t>
      </w:r>
    </w:p>
    <w:p w:rsidR="002D5B66" w:rsidRDefault="002D5B66" w:rsidP="005362F9">
      <w:pPr>
        <w:tabs>
          <w:tab w:val="left" w:pos="1527"/>
        </w:tabs>
      </w:pPr>
      <w:r>
        <w:t>Summary statistics</w:t>
      </w:r>
    </w:p>
    <w:p w:rsidR="002D5B66" w:rsidRDefault="002D5B66" w:rsidP="005362F9">
      <w:pPr>
        <w:tabs>
          <w:tab w:val="left" w:pos="1527"/>
        </w:tabs>
      </w:pPr>
      <w:r>
        <w:t>second</w:t>
      </w:r>
    </w:p>
    <w:tbl>
      <w:tblPr>
        <w:tblStyle w:val="TableGrid"/>
        <w:tblW w:w="0" w:type="auto"/>
        <w:tblLook w:val="04A0" w:firstRow="1" w:lastRow="0" w:firstColumn="1" w:lastColumn="0" w:noHBand="0" w:noVBand="1"/>
      </w:tblPr>
      <w:tblGrid>
        <w:gridCol w:w="1213"/>
        <w:gridCol w:w="1475"/>
        <w:gridCol w:w="1212"/>
        <w:gridCol w:w="1212"/>
        <w:gridCol w:w="1212"/>
        <w:gridCol w:w="1212"/>
        <w:gridCol w:w="1474"/>
      </w:tblGrid>
      <w:tr w:rsidR="002D5B66" w:rsidTr="002D5B66">
        <w:tc>
          <w:tcPr>
            <w:tcW w:w="1287" w:type="dxa"/>
          </w:tcPr>
          <w:p w:rsidR="002D5B66" w:rsidRDefault="0025206D" w:rsidP="005362F9">
            <w:pPr>
              <w:tabs>
                <w:tab w:val="left" w:pos="1527"/>
              </w:tabs>
            </w:pPr>
            <w:r>
              <w:t>M</w:t>
            </w:r>
            <w:r w:rsidR="002D5B66">
              <w:t>ean</w:t>
            </w:r>
          </w:p>
        </w:tc>
        <w:tc>
          <w:tcPr>
            <w:tcW w:w="1287" w:type="dxa"/>
          </w:tcPr>
          <w:p w:rsidR="002D5B66" w:rsidRDefault="002D5B66" w:rsidP="005362F9">
            <w:pPr>
              <w:tabs>
                <w:tab w:val="left" w:pos="1527"/>
              </w:tabs>
            </w:pPr>
            <w:r>
              <w:t>Median</w:t>
            </w:r>
          </w:p>
        </w:tc>
        <w:tc>
          <w:tcPr>
            <w:tcW w:w="1287" w:type="dxa"/>
          </w:tcPr>
          <w:p w:rsidR="002D5B66" w:rsidRDefault="002D5B66" w:rsidP="005362F9">
            <w:pPr>
              <w:tabs>
                <w:tab w:val="left" w:pos="1527"/>
              </w:tabs>
            </w:pPr>
            <w:r>
              <w:t xml:space="preserve">Min </w:t>
            </w:r>
          </w:p>
        </w:tc>
        <w:tc>
          <w:tcPr>
            <w:tcW w:w="1287" w:type="dxa"/>
          </w:tcPr>
          <w:p w:rsidR="002D5B66" w:rsidRDefault="002D5B66" w:rsidP="005362F9">
            <w:pPr>
              <w:tabs>
                <w:tab w:val="left" w:pos="1527"/>
              </w:tabs>
            </w:pPr>
            <w:r>
              <w:t xml:space="preserve">Max </w:t>
            </w:r>
          </w:p>
        </w:tc>
        <w:tc>
          <w:tcPr>
            <w:tcW w:w="1287" w:type="dxa"/>
          </w:tcPr>
          <w:p w:rsidR="002D5B66" w:rsidRDefault="0025206D" w:rsidP="002D5B66">
            <w:pPr>
              <w:pStyle w:val="NormalWeb"/>
            </w:pPr>
            <w:r>
              <w:rPr>
                <w:rFonts w:ascii="CMR12" w:hAnsi="CMR12"/>
              </w:rPr>
              <w:t>St</w:t>
            </w:r>
            <w:r w:rsidR="002D5B66">
              <w:rPr>
                <w:rFonts w:ascii="CMR12" w:hAnsi="CMR12"/>
              </w:rPr>
              <w:t xml:space="preserve">andard  deviation </w:t>
            </w:r>
          </w:p>
          <w:p w:rsidR="002D5B66" w:rsidRDefault="002D5B66" w:rsidP="005362F9">
            <w:pPr>
              <w:tabs>
                <w:tab w:val="left" w:pos="1527"/>
              </w:tabs>
            </w:pPr>
          </w:p>
        </w:tc>
        <w:tc>
          <w:tcPr>
            <w:tcW w:w="1287" w:type="dxa"/>
          </w:tcPr>
          <w:p w:rsidR="002D5B66" w:rsidRDefault="0025206D" w:rsidP="005362F9">
            <w:pPr>
              <w:tabs>
                <w:tab w:val="left" w:pos="1527"/>
              </w:tabs>
            </w:pPr>
            <w:r>
              <w:t>Sk</w:t>
            </w:r>
            <w:r w:rsidR="002D5B66">
              <w:t>ewness</w:t>
            </w:r>
          </w:p>
        </w:tc>
        <w:tc>
          <w:tcPr>
            <w:tcW w:w="1288" w:type="dxa"/>
          </w:tcPr>
          <w:p w:rsidR="002D5B66" w:rsidRDefault="002D5B66" w:rsidP="005362F9">
            <w:pPr>
              <w:tabs>
                <w:tab w:val="left" w:pos="1527"/>
              </w:tabs>
            </w:pPr>
            <w:r>
              <w:t>Excess kurtosis</w:t>
            </w:r>
          </w:p>
        </w:tc>
      </w:tr>
      <w:tr w:rsidR="002D5B66" w:rsidTr="002D5B66">
        <w:tc>
          <w:tcPr>
            <w:tcW w:w="1287" w:type="dxa"/>
          </w:tcPr>
          <w:p w:rsidR="002D5B66" w:rsidRDefault="002D5B66" w:rsidP="005362F9">
            <w:pPr>
              <w:tabs>
                <w:tab w:val="left" w:pos="1527"/>
              </w:tabs>
            </w:pPr>
            <w:r w:rsidRPr="002D5B66">
              <w:t>7.935821e-07</w:t>
            </w:r>
          </w:p>
        </w:tc>
        <w:tc>
          <w:tcPr>
            <w:tcW w:w="1287" w:type="dxa"/>
          </w:tcPr>
          <w:p w:rsidR="002D5B66" w:rsidRDefault="002D5B66" w:rsidP="005362F9">
            <w:pPr>
              <w:tabs>
                <w:tab w:val="left" w:pos="1527"/>
              </w:tabs>
            </w:pPr>
            <w:r w:rsidRPr="002D5B66">
              <w:t>0.000000e+00</w:t>
            </w:r>
          </w:p>
        </w:tc>
        <w:tc>
          <w:tcPr>
            <w:tcW w:w="1287" w:type="dxa"/>
          </w:tcPr>
          <w:p w:rsidR="002D5B66" w:rsidRDefault="002D5B66" w:rsidP="005362F9">
            <w:pPr>
              <w:tabs>
                <w:tab w:val="left" w:pos="1527"/>
              </w:tabs>
            </w:pPr>
            <w:r>
              <w:t>-</w:t>
            </w:r>
            <w:r w:rsidRPr="002D5B66">
              <w:t>8.478702e-04</w:t>
            </w:r>
          </w:p>
        </w:tc>
        <w:tc>
          <w:tcPr>
            <w:tcW w:w="1287" w:type="dxa"/>
          </w:tcPr>
          <w:p w:rsidR="002D5B66" w:rsidRDefault="002D5B66" w:rsidP="005362F9">
            <w:pPr>
              <w:tabs>
                <w:tab w:val="left" w:pos="1527"/>
              </w:tabs>
            </w:pPr>
            <w:r w:rsidRPr="002D5B66">
              <w:t>7.827789e-04</w:t>
            </w:r>
          </w:p>
        </w:tc>
        <w:tc>
          <w:tcPr>
            <w:tcW w:w="1287" w:type="dxa"/>
          </w:tcPr>
          <w:p w:rsidR="002D5B66" w:rsidRDefault="002D5B66" w:rsidP="005362F9">
            <w:pPr>
              <w:tabs>
                <w:tab w:val="left" w:pos="1527"/>
              </w:tabs>
            </w:pPr>
            <w:r w:rsidRPr="002D5B66">
              <w:t>1.063285e-04</w:t>
            </w:r>
          </w:p>
        </w:tc>
        <w:tc>
          <w:tcPr>
            <w:tcW w:w="1287" w:type="dxa"/>
          </w:tcPr>
          <w:p w:rsidR="002D5B66" w:rsidRDefault="002D5B66" w:rsidP="005362F9">
            <w:pPr>
              <w:tabs>
                <w:tab w:val="left" w:pos="1527"/>
              </w:tabs>
            </w:pPr>
            <w:r w:rsidRPr="002D5B66">
              <w:t>-2.660477e-01</w:t>
            </w:r>
          </w:p>
        </w:tc>
        <w:tc>
          <w:tcPr>
            <w:tcW w:w="1288" w:type="dxa"/>
          </w:tcPr>
          <w:p w:rsidR="002D5B66" w:rsidRDefault="002D5B66" w:rsidP="005362F9">
            <w:pPr>
              <w:tabs>
                <w:tab w:val="left" w:pos="1527"/>
              </w:tabs>
            </w:pPr>
            <w:r w:rsidRPr="002D5B66">
              <w:t>6.804509e+00</w:t>
            </w:r>
          </w:p>
        </w:tc>
      </w:tr>
    </w:tbl>
    <w:p w:rsidR="002D5B66" w:rsidRDefault="002D5B66" w:rsidP="005362F9">
      <w:pPr>
        <w:tabs>
          <w:tab w:val="left" w:pos="1527"/>
        </w:tabs>
      </w:pPr>
    </w:p>
    <w:p w:rsidR="0025206D" w:rsidRDefault="009F501B" w:rsidP="005362F9">
      <w:pPr>
        <w:tabs>
          <w:tab w:val="left" w:pos="1527"/>
        </w:tabs>
      </w:pPr>
      <w:r w:rsidRPr="009F501B">
        <w:rPr>
          <w:noProof/>
        </w:rPr>
        <w:drawing>
          <wp:inline distT="0" distB="0" distL="0" distR="0" wp14:anchorId="30EFE4F1" wp14:editId="6B8EBFE1">
            <wp:extent cx="5727700" cy="573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573405"/>
                    </a:xfrm>
                    <a:prstGeom prst="rect">
                      <a:avLst/>
                    </a:prstGeom>
                  </pic:spPr>
                </pic:pic>
              </a:graphicData>
            </a:graphic>
          </wp:inline>
        </w:drawing>
      </w:r>
    </w:p>
    <w:p w:rsidR="0025206D" w:rsidRDefault="00797C5D" w:rsidP="005362F9">
      <w:pPr>
        <w:tabs>
          <w:tab w:val="left" w:pos="1527"/>
        </w:tabs>
      </w:pPr>
      <w:r>
        <w:t xml:space="preserve">Scatter </w:t>
      </w:r>
    </w:p>
    <w:p w:rsidR="009F501B" w:rsidRDefault="009F501B" w:rsidP="005362F9">
      <w:pPr>
        <w:tabs>
          <w:tab w:val="left" w:pos="1527"/>
        </w:tabs>
      </w:pPr>
      <w:r w:rsidRPr="009F501B">
        <w:rPr>
          <w:noProof/>
        </w:rPr>
        <w:drawing>
          <wp:inline distT="0" distB="0" distL="0" distR="0" wp14:anchorId="1ACD269B" wp14:editId="495982C9">
            <wp:extent cx="5727700" cy="3678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3678555"/>
                    </a:xfrm>
                    <a:prstGeom prst="rect">
                      <a:avLst/>
                    </a:prstGeom>
                  </pic:spPr>
                </pic:pic>
              </a:graphicData>
            </a:graphic>
          </wp:inline>
        </w:drawing>
      </w:r>
    </w:p>
    <w:p w:rsidR="009F501B" w:rsidRDefault="009F501B" w:rsidP="005362F9">
      <w:pPr>
        <w:tabs>
          <w:tab w:val="left" w:pos="1527"/>
        </w:tabs>
      </w:pPr>
    </w:p>
    <w:p w:rsidR="0025206D" w:rsidRDefault="00312AA0" w:rsidP="005362F9">
      <w:pPr>
        <w:tabs>
          <w:tab w:val="left" w:pos="1527"/>
        </w:tabs>
      </w:pPr>
      <w:r>
        <w:t>Histogram</w:t>
      </w:r>
    </w:p>
    <w:p w:rsidR="00312AA0" w:rsidRDefault="00312AA0" w:rsidP="005362F9">
      <w:pPr>
        <w:tabs>
          <w:tab w:val="left" w:pos="1527"/>
        </w:tabs>
      </w:pPr>
      <w:r w:rsidRPr="00312AA0">
        <w:rPr>
          <w:noProof/>
        </w:rPr>
        <w:lastRenderedPageBreak/>
        <w:drawing>
          <wp:inline distT="0" distB="0" distL="0" distR="0" wp14:anchorId="757422D1" wp14:editId="04FE054E">
            <wp:extent cx="5727700" cy="3710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710305"/>
                    </a:xfrm>
                    <a:prstGeom prst="rect">
                      <a:avLst/>
                    </a:prstGeom>
                  </pic:spPr>
                </pic:pic>
              </a:graphicData>
            </a:graphic>
          </wp:inline>
        </w:drawing>
      </w:r>
    </w:p>
    <w:p w:rsidR="0025206D" w:rsidRDefault="0025206D" w:rsidP="005362F9">
      <w:pPr>
        <w:tabs>
          <w:tab w:val="left" w:pos="1527"/>
        </w:tabs>
      </w:pPr>
    </w:p>
    <w:p w:rsidR="00797C5D" w:rsidRDefault="00797C5D" w:rsidP="005362F9">
      <w:pPr>
        <w:tabs>
          <w:tab w:val="left" w:pos="1527"/>
        </w:tabs>
      </w:pPr>
      <w:r>
        <w:t>Density</w:t>
      </w:r>
    </w:p>
    <w:p w:rsidR="00797C5D" w:rsidRDefault="00797C5D" w:rsidP="005362F9">
      <w:pPr>
        <w:tabs>
          <w:tab w:val="left" w:pos="1527"/>
        </w:tabs>
      </w:pPr>
    </w:p>
    <w:p w:rsidR="00797C5D" w:rsidRDefault="00797C5D" w:rsidP="005362F9">
      <w:pPr>
        <w:tabs>
          <w:tab w:val="left" w:pos="1527"/>
        </w:tabs>
      </w:pPr>
      <w:r w:rsidRPr="00797C5D">
        <w:rPr>
          <w:noProof/>
        </w:rPr>
        <w:drawing>
          <wp:inline distT="0" distB="0" distL="0" distR="0" wp14:anchorId="514ACDB6" wp14:editId="79B8C631">
            <wp:extent cx="5727700" cy="3645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3645535"/>
                    </a:xfrm>
                    <a:prstGeom prst="rect">
                      <a:avLst/>
                    </a:prstGeom>
                  </pic:spPr>
                </pic:pic>
              </a:graphicData>
            </a:graphic>
          </wp:inline>
        </w:drawing>
      </w:r>
    </w:p>
    <w:p w:rsidR="002D5B66" w:rsidRDefault="0025206D" w:rsidP="005362F9">
      <w:pPr>
        <w:tabs>
          <w:tab w:val="left" w:pos="1527"/>
        </w:tabs>
      </w:pPr>
      <w:r>
        <w:t>Minute</w:t>
      </w:r>
    </w:p>
    <w:tbl>
      <w:tblPr>
        <w:tblStyle w:val="TableGrid"/>
        <w:tblW w:w="0" w:type="auto"/>
        <w:tblLook w:val="04A0" w:firstRow="1" w:lastRow="0" w:firstColumn="1" w:lastColumn="0" w:noHBand="0" w:noVBand="1"/>
      </w:tblPr>
      <w:tblGrid>
        <w:gridCol w:w="1288"/>
        <w:gridCol w:w="1287"/>
        <w:gridCol w:w="1287"/>
        <w:gridCol w:w="1287"/>
        <w:gridCol w:w="1287"/>
        <w:gridCol w:w="1287"/>
        <w:gridCol w:w="1287"/>
      </w:tblGrid>
      <w:tr w:rsidR="0025206D" w:rsidTr="009F501B">
        <w:tc>
          <w:tcPr>
            <w:tcW w:w="1288" w:type="dxa"/>
          </w:tcPr>
          <w:p w:rsidR="0025206D" w:rsidRDefault="0025206D" w:rsidP="005362F9">
            <w:pPr>
              <w:tabs>
                <w:tab w:val="left" w:pos="1527"/>
              </w:tabs>
            </w:pPr>
            <w:r>
              <w:t xml:space="preserve">Mean </w:t>
            </w:r>
          </w:p>
        </w:tc>
        <w:tc>
          <w:tcPr>
            <w:tcW w:w="1287" w:type="dxa"/>
          </w:tcPr>
          <w:p w:rsidR="0025206D" w:rsidRDefault="0025206D" w:rsidP="005362F9">
            <w:pPr>
              <w:tabs>
                <w:tab w:val="left" w:pos="1527"/>
              </w:tabs>
            </w:pPr>
            <w:r>
              <w:t xml:space="preserve">Median </w:t>
            </w:r>
          </w:p>
        </w:tc>
        <w:tc>
          <w:tcPr>
            <w:tcW w:w="1287" w:type="dxa"/>
          </w:tcPr>
          <w:p w:rsidR="0025206D" w:rsidRDefault="0025206D" w:rsidP="005362F9">
            <w:pPr>
              <w:tabs>
                <w:tab w:val="left" w:pos="1527"/>
              </w:tabs>
            </w:pPr>
            <w:r>
              <w:t xml:space="preserve">Min </w:t>
            </w:r>
          </w:p>
        </w:tc>
        <w:tc>
          <w:tcPr>
            <w:tcW w:w="1287" w:type="dxa"/>
          </w:tcPr>
          <w:p w:rsidR="0025206D" w:rsidRDefault="0025206D" w:rsidP="005362F9">
            <w:pPr>
              <w:tabs>
                <w:tab w:val="left" w:pos="1527"/>
              </w:tabs>
            </w:pPr>
            <w:r>
              <w:t xml:space="preserve">Max </w:t>
            </w:r>
          </w:p>
        </w:tc>
        <w:tc>
          <w:tcPr>
            <w:tcW w:w="1287" w:type="dxa"/>
          </w:tcPr>
          <w:p w:rsidR="0025206D" w:rsidRDefault="0025206D" w:rsidP="005362F9">
            <w:pPr>
              <w:tabs>
                <w:tab w:val="left" w:pos="1527"/>
              </w:tabs>
            </w:pPr>
            <w:r>
              <w:t>Standard deviation</w:t>
            </w:r>
          </w:p>
        </w:tc>
        <w:tc>
          <w:tcPr>
            <w:tcW w:w="1287" w:type="dxa"/>
          </w:tcPr>
          <w:p w:rsidR="0025206D" w:rsidRDefault="0025206D" w:rsidP="005362F9">
            <w:pPr>
              <w:tabs>
                <w:tab w:val="left" w:pos="1527"/>
              </w:tabs>
            </w:pPr>
            <w:r>
              <w:t xml:space="preserve">Skewness </w:t>
            </w:r>
          </w:p>
        </w:tc>
        <w:tc>
          <w:tcPr>
            <w:tcW w:w="1287" w:type="dxa"/>
          </w:tcPr>
          <w:p w:rsidR="0025206D" w:rsidRDefault="0025206D" w:rsidP="005362F9">
            <w:pPr>
              <w:tabs>
                <w:tab w:val="left" w:pos="1527"/>
              </w:tabs>
            </w:pPr>
            <w:r>
              <w:t>Excess kurtosis</w:t>
            </w:r>
          </w:p>
        </w:tc>
      </w:tr>
      <w:tr w:rsidR="0025206D" w:rsidTr="009F501B">
        <w:tc>
          <w:tcPr>
            <w:tcW w:w="1288" w:type="dxa"/>
          </w:tcPr>
          <w:p w:rsidR="0025206D" w:rsidRDefault="009F501B" w:rsidP="005362F9">
            <w:pPr>
              <w:tabs>
                <w:tab w:val="left" w:pos="1527"/>
              </w:tabs>
            </w:pPr>
            <w:r w:rsidRPr="009F501B">
              <w:lastRenderedPageBreak/>
              <w:t xml:space="preserve">4.897166e-05  </w:t>
            </w:r>
          </w:p>
        </w:tc>
        <w:tc>
          <w:tcPr>
            <w:tcW w:w="1287" w:type="dxa"/>
          </w:tcPr>
          <w:p w:rsidR="0025206D" w:rsidRDefault="009F501B" w:rsidP="005362F9">
            <w:pPr>
              <w:tabs>
                <w:tab w:val="left" w:pos="1527"/>
              </w:tabs>
            </w:pPr>
            <w:r w:rsidRPr="009F501B">
              <w:t>6.462983e-05</w:t>
            </w:r>
          </w:p>
        </w:tc>
        <w:tc>
          <w:tcPr>
            <w:tcW w:w="1287" w:type="dxa"/>
          </w:tcPr>
          <w:p w:rsidR="0025206D" w:rsidRDefault="009F501B" w:rsidP="005362F9">
            <w:pPr>
              <w:tabs>
                <w:tab w:val="left" w:pos="1527"/>
              </w:tabs>
            </w:pPr>
            <w:r w:rsidRPr="009F501B">
              <w:t>-8.059761e-04</w:t>
            </w:r>
          </w:p>
        </w:tc>
        <w:tc>
          <w:tcPr>
            <w:tcW w:w="1287" w:type="dxa"/>
          </w:tcPr>
          <w:p w:rsidR="0025206D" w:rsidRDefault="009F501B" w:rsidP="005362F9">
            <w:pPr>
              <w:tabs>
                <w:tab w:val="left" w:pos="1527"/>
              </w:tabs>
            </w:pPr>
            <w:r w:rsidRPr="009F501B">
              <w:t>7.114258e-04</w:t>
            </w:r>
          </w:p>
        </w:tc>
        <w:tc>
          <w:tcPr>
            <w:tcW w:w="1287" w:type="dxa"/>
          </w:tcPr>
          <w:p w:rsidR="0025206D" w:rsidRDefault="009F501B" w:rsidP="005362F9">
            <w:pPr>
              <w:tabs>
                <w:tab w:val="left" w:pos="1527"/>
              </w:tabs>
            </w:pPr>
            <w:r w:rsidRPr="009F501B">
              <w:t>2.486477e-04</w:t>
            </w:r>
          </w:p>
        </w:tc>
        <w:tc>
          <w:tcPr>
            <w:tcW w:w="1287" w:type="dxa"/>
          </w:tcPr>
          <w:p w:rsidR="0025206D" w:rsidRDefault="009F501B" w:rsidP="005362F9">
            <w:pPr>
              <w:tabs>
                <w:tab w:val="left" w:pos="1527"/>
              </w:tabs>
            </w:pPr>
            <w:r w:rsidRPr="009F501B">
              <w:t>-3.857743e-01</w:t>
            </w:r>
          </w:p>
        </w:tc>
        <w:tc>
          <w:tcPr>
            <w:tcW w:w="1287" w:type="dxa"/>
          </w:tcPr>
          <w:p w:rsidR="0025206D" w:rsidRDefault="009F501B" w:rsidP="005362F9">
            <w:pPr>
              <w:tabs>
                <w:tab w:val="left" w:pos="1527"/>
              </w:tabs>
            </w:pPr>
            <w:r w:rsidRPr="009F501B">
              <w:t>7.412144e-01</w:t>
            </w:r>
          </w:p>
        </w:tc>
      </w:tr>
    </w:tbl>
    <w:p w:rsidR="009F501B" w:rsidRDefault="009F501B" w:rsidP="005362F9">
      <w:pPr>
        <w:tabs>
          <w:tab w:val="left" w:pos="1527"/>
        </w:tabs>
      </w:pPr>
    </w:p>
    <w:p w:rsidR="0025206D" w:rsidRDefault="009F501B" w:rsidP="005362F9">
      <w:pPr>
        <w:tabs>
          <w:tab w:val="left" w:pos="1527"/>
        </w:tabs>
      </w:pPr>
      <w:r w:rsidRPr="009F501B">
        <w:rPr>
          <w:noProof/>
        </w:rPr>
        <w:drawing>
          <wp:inline distT="0" distB="0" distL="0" distR="0" wp14:anchorId="7C4733A0" wp14:editId="59957B19">
            <wp:extent cx="5727700" cy="288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88925"/>
                    </a:xfrm>
                    <a:prstGeom prst="rect">
                      <a:avLst/>
                    </a:prstGeom>
                  </pic:spPr>
                </pic:pic>
              </a:graphicData>
            </a:graphic>
          </wp:inline>
        </w:drawing>
      </w:r>
    </w:p>
    <w:p w:rsidR="009F501B" w:rsidRDefault="009F501B" w:rsidP="005362F9">
      <w:pPr>
        <w:tabs>
          <w:tab w:val="left" w:pos="1527"/>
        </w:tabs>
      </w:pPr>
    </w:p>
    <w:p w:rsidR="009F501B" w:rsidRDefault="00797C5D" w:rsidP="005362F9">
      <w:pPr>
        <w:tabs>
          <w:tab w:val="left" w:pos="1527"/>
        </w:tabs>
      </w:pPr>
      <w:r>
        <w:t>scatter</w:t>
      </w:r>
    </w:p>
    <w:p w:rsidR="002D5B66" w:rsidRDefault="00312AA0" w:rsidP="005362F9">
      <w:pPr>
        <w:tabs>
          <w:tab w:val="left" w:pos="1527"/>
        </w:tabs>
      </w:pPr>
      <w:r w:rsidRPr="00312AA0">
        <w:rPr>
          <w:noProof/>
        </w:rPr>
        <w:drawing>
          <wp:inline distT="0" distB="0" distL="0" distR="0" wp14:anchorId="6FF8104C" wp14:editId="631F0673">
            <wp:extent cx="5727700" cy="37915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3791585"/>
                    </a:xfrm>
                    <a:prstGeom prst="rect">
                      <a:avLst/>
                    </a:prstGeom>
                  </pic:spPr>
                </pic:pic>
              </a:graphicData>
            </a:graphic>
          </wp:inline>
        </w:drawing>
      </w:r>
    </w:p>
    <w:p w:rsidR="009F501B" w:rsidRDefault="009F501B" w:rsidP="005362F9">
      <w:pPr>
        <w:tabs>
          <w:tab w:val="left" w:pos="1527"/>
        </w:tabs>
      </w:pPr>
    </w:p>
    <w:p w:rsidR="009F501B" w:rsidRDefault="009F501B" w:rsidP="005362F9">
      <w:pPr>
        <w:tabs>
          <w:tab w:val="left" w:pos="1527"/>
        </w:tabs>
      </w:pPr>
      <w:r>
        <w:t>histogram</w:t>
      </w:r>
    </w:p>
    <w:p w:rsidR="009F501B" w:rsidRDefault="00312AA0" w:rsidP="005362F9">
      <w:pPr>
        <w:tabs>
          <w:tab w:val="left" w:pos="1527"/>
        </w:tabs>
      </w:pPr>
      <w:r w:rsidRPr="00312AA0">
        <w:rPr>
          <w:noProof/>
        </w:rPr>
        <w:lastRenderedPageBreak/>
        <w:drawing>
          <wp:inline distT="0" distB="0" distL="0" distR="0" wp14:anchorId="7F5E28B0" wp14:editId="4204DFC5">
            <wp:extent cx="5727700" cy="37947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3794760"/>
                    </a:xfrm>
                    <a:prstGeom prst="rect">
                      <a:avLst/>
                    </a:prstGeom>
                  </pic:spPr>
                </pic:pic>
              </a:graphicData>
            </a:graphic>
          </wp:inline>
        </w:drawing>
      </w:r>
    </w:p>
    <w:p w:rsidR="00797C5D" w:rsidRDefault="00797C5D" w:rsidP="005362F9">
      <w:pPr>
        <w:tabs>
          <w:tab w:val="left" w:pos="1527"/>
        </w:tabs>
      </w:pPr>
      <w:r>
        <w:t>Density</w:t>
      </w:r>
    </w:p>
    <w:p w:rsidR="00797C5D" w:rsidRDefault="00797C5D" w:rsidP="005362F9">
      <w:pPr>
        <w:tabs>
          <w:tab w:val="left" w:pos="1527"/>
        </w:tabs>
      </w:pPr>
      <w:r w:rsidRPr="00797C5D">
        <w:rPr>
          <w:noProof/>
        </w:rPr>
        <w:drawing>
          <wp:inline distT="0" distB="0" distL="0" distR="0" wp14:anchorId="3372C333" wp14:editId="54B748A1">
            <wp:extent cx="5727700" cy="37598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3759835"/>
                    </a:xfrm>
                    <a:prstGeom prst="rect">
                      <a:avLst/>
                    </a:prstGeom>
                  </pic:spPr>
                </pic:pic>
              </a:graphicData>
            </a:graphic>
          </wp:inline>
        </w:drawing>
      </w:r>
    </w:p>
    <w:p w:rsidR="0053583B" w:rsidRDefault="0053583B" w:rsidP="005362F9">
      <w:pPr>
        <w:tabs>
          <w:tab w:val="left" w:pos="1527"/>
        </w:tabs>
      </w:pPr>
      <w:r>
        <w:t>Comment:</w:t>
      </w:r>
    </w:p>
    <w:p w:rsidR="0053583B" w:rsidRPr="0053583B" w:rsidRDefault="0053583B" w:rsidP="005362F9">
      <w:pPr>
        <w:tabs>
          <w:tab w:val="left" w:pos="1527"/>
        </w:tabs>
      </w:pPr>
      <w:r>
        <w:t xml:space="preserve">Judging from the histogram, the distribution of </w:t>
      </w:r>
      <w:proofErr w:type="spellStart"/>
      <w:r>
        <w:t>log_return</w:t>
      </w:r>
      <w:proofErr w:type="spellEnd"/>
      <w:r>
        <w:t xml:space="preserve"> approaches the Standard Normal Distribution.</w:t>
      </w:r>
    </w:p>
    <w:p w:rsidR="0053583B" w:rsidRDefault="0053583B" w:rsidP="005362F9">
      <w:pPr>
        <w:tabs>
          <w:tab w:val="left" w:pos="1527"/>
        </w:tabs>
      </w:pPr>
    </w:p>
    <w:p w:rsidR="005362F9" w:rsidRDefault="00531D30" w:rsidP="005362F9">
      <w:pPr>
        <w:tabs>
          <w:tab w:val="left" w:pos="1527"/>
        </w:tabs>
      </w:pPr>
      <w:r>
        <w:t>Q2: C</w:t>
      </w:r>
      <w:r w:rsidR="005362F9">
        <w:t>oco</w:t>
      </w:r>
      <w:r>
        <w:t>s</w:t>
      </w:r>
    </w:p>
    <w:p w:rsidR="00531D30" w:rsidRDefault="00B45098" w:rsidP="00B45098">
      <w:pPr>
        <w:pStyle w:val="ListParagraph"/>
        <w:numPr>
          <w:ilvl w:val="0"/>
          <w:numId w:val="3"/>
        </w:numPr>
        <w:tabs>
          <w:tab w:val="left" w:pos="1527"/>
        </w:tabs>
      </w:pPr>
      <w:r>
        <w:lastRenderedPageBreak/>
        <w:t xml:space="preserve">The difference lies in the conversion conditions. The traditional convertible bonds can only be converted to equity when its stock price fall below the strike price. But the </w:t>
      </w:r>
      <w:proofErr w:type="spellStart"/>
      <w:r>
        <w:t>CoCos</w:t>
      </w:r>
      <w:proofErr w:type="spellEnd"/>
      <w:r>
        <w:t xml:space="preserve"> can be converted when the </w:t>
      </w:r>
      <w:r w:rsidR="008E3FA6">
        <w:t xml:space="preserve">debt ratio of the </w:t>
      </w:r>
      <w:r>
        <w:t xml:space="preserve">company who </w:t>
      </w:r>
      <w:r w:rsidR="008E3FA6">
        <w:t>issued the bonds fall below a certain value. Thus, it restrains the leverage ratio of the company</w:t>
      </w:r>
      <w:r>
        <w:t xml:space="preserve"> </w:t>
      </w:r>
      <w:r w:rsidR="008E3FA6">
        <w:t>to reduce the risk, which can protect the rights of bondholders.</w:t>
      </w:r>
      <w:r w:rsidR="004D1BCC">
        <w:t xml:space="preserve"> Besides, the return ratio of </w:t>
      </w:r>
      <w:proofErr w:type="spellStart"/>
      <w:r w:rsidR="004D1BCC">
        <w:t>CoCos</w:t>
      </w:r>
      <w:proofErr w:type="spellEnd"/>
      <w:r w:rsidR="004D1BCC">
        <w:t xml:space="preserve"> is relatively higher than other bonds today(according to the essay).</w:t>
      </w:r>
    </w:p>
    <w:p w:rsidR="00B45098" w:rsidRDefault="00455B81" w:rsidP="00B45098">
      <w:pPr>
        <w:pStyle w:val="ListParagraph"/>
        <w:numPr>
          <w:ilvl w:val="0"/>
          <w:numId w:val="3"/>
        </w:numPr>
        <w:tabs>
          <w:tab w:val="left" w:pos="1527"/>
        </w:tabs>
      </w:pPr>
      <w:r w:rsidRPr="0034799E">
        <w:rPr>
          <w:b/>
        </w:rPr>
        <w:t>Firstly</w:t>
      </w:r>
      <w:r>
        <w:t>, a</w:t>
      </w:r>
      <w:r w:rsidR="004D1BCC">
        <w:t xml:space="preserve">ccording to the </w:t>
      </w:r>
      <w:r>
        <w:t>essay, the banks are forced to convert the bonds when their debt ratio fall below the specific level, which can help to control the risk of banks.</w:t>
      </w:r>
    </w:p>
    <w:p w:rsidR="00455B81" w:rsidRDefault="00455B81" w:rsidP="00455B81">
      <w:pPr>
        <w:pStyle w:val="ListParagraph"/>
        <w:tabs>
          <w:tab w:val="left" w:pos="1527"/>
        </w:tabs>
        <w:ind w:left="680"/>
      </w:pPr>
      <w:r w:rsidRPr="0034799E">
        <w:rPr>
          <w:b/>
        </w:rPr>
        <w:t>Secondly</w:t>
      </w:r>
      <w:r>
        <w:t>, banks will reduce their expense on dividends and interests, when the bonds convert to equity so that they don’t need to pay for the interests of the bonds or the dividends of their equity.</w:t>
      </w:r>
    </w:p>
    <w:p w:rsidR="00455B81" w:rsidRDefault="0053583B" w:rsidP="00455B81">
      <w:pPr>
        <w:pStyle w:val="ListParagraph"/>
        <w:tabs>
          <w:tab w:val="left" w:pos="1527"/>
        </w:tabs>
        <w:ind w:left="680"/>
      </w:pPr>
      <w:r w:rsidRPr="0034799E">
        <w:rPr>
          <w:b/>
        </w:rPr>
        <w:t>Thirdly,</w:t>
      </w:r>
      <w:r>
        <w:t xml:space="preserve"> it helps bank to meet capital requirement.</w:t>
      </w:r>
    </w:p>
    <w:p w:rsidR="0053583B" w:rsidRPr="0053583B" w:rsidRDefault="0053583B" w:rsidP="00455B81">
      <w:pPr>
        <w:pStyle w:val="ListParagraph"/>
        <w:tabs>
          <w:tab w:val="left" w:pos="1527"/>
        </w:tabs>
        <w:ind w:left="680"/>
      </w:pPr>
      <w:r w:rsidRPr="0034799E">
        <w:rPr>
          <w:b/>
        </w:rPr>
        <w:t>Fourthly</w:t>
      </w:r>
      <w:r>
        <w:t xml:space="preserve">, according to the essay, “ </w:t>
      </w:r>
      <w:proofErr w:type="spellStart"/>
      <w:r>
        <w:t>CoCo</w:t>
      </w:r>
      <w:proofErr w:type="spellEnd"/>
      <w:r>
        <w:t xml:space="preserve"> Coupon payments are tax deductible”. It may help banks to save their expense.</w:t>
      </w:r>
    </w:p>
    <w:p w:rsidR="00531D30" w:rsidRDefault="00531D30" w:rsidP="005362F9">
      <w:pPr>
        <w:tabs>
          <w:tab w:val="left" w:pos="1527"/>
        </w:tabs>
      </w:pPr>
    </w:p>
    <w:p w:rsidR="00531D30" w:rsidRDefault="00531D30" w:rsidP="005362F9">
      <w:pPr>
        <w:tabs>
          <w:tab w:val="left" w:pos="1527"/>
        </w:tabs>
      </w:pPr>
    </w:p>
    <w:p w:rsidR="00803700" w:rsidRDefault="005362F9" w:rsidP="00803700">
      <w:pPr>
        <w:tabs>
          <w:tab w:val="left" w:pos="1527"/>
        </w:tabs>
      </w:pPr>
      <w:r>
        <w:t>Q3:</w:t>
      </w:r>
      <w:r w:rsidR="0009085E">
        <w:t>Bitcoin</w:t>
      </w:r>
    </w:p>
    <w:p w:rsidR="00803700" w:rsidRDefault="00803700" w:rsidP="00803700">
      <w:pPr>
        <w:pStyle w:val="ListParagraph"/>
        <w:numPr>
          <w:ilvl w:val="0"/>
          <w:numId w:val="2"/>
        </w:numPr>
        <w:tabs>
          <w:tab w:val="left" w:pos="1527"/>
        </w:tabs>
      </w:pPr>
      <w:r>
        <w:t>In long run, the value of Bitcoin is highly elastic to the expectation of the participants in the Bitcoin Market. Anything, such as the exhibition of Bitcoin , may cause big changes in its price.</w:t>
      </w:r>
    </w:p>
    <w:p w:rsidR="00803700" w:rsidRDefault="00803700" w:rsidP="00803700">
      <w:pPr>
        <w:pStyle w:val="ListParagraph"/>
        <w:tabs>
          <w:tab w:val="left" w:pos="1527"/>
        </w:tabs>
      </w:pPr>
      <w:r>
        <w:t>In short run, the decentr</w:t>
      </w:r>
      <w:r w:rsidR="00531D30">
        <w:t>alization property of Bitcoin makes it harder to adjust its price according to the conflicts betw</w:t>
      </w:r>
      <w:bookmarkStart w:id="0" w:name="_GoBack"/>
      <w:bookmarkEnd w:id="0"/>
      <w:r w:rsidR="00531D30">
        <w:t>een supply and demand in its market.</w:t>
      </w:r>
    </w:p>
    <w:p w:rsidR="00803700" w:rsidRDefault="00797C5D" w:rsidP="00803700">
      <w:pPr>
        <w:pStyle w:val="ListParagraph"/>
        <w:numPr>
          <w:ilvl w:val="0"/>
          <w:numId w:val="2"/>
        </w:numPr>
        <w:tabs>
          <w:tab w:val="left" w:pos="1527"/>
        </w:tabs>
      </w:pPr>
      <w:r>
        <w:t>Real a</w:t>
      </w:r>
      <w:r w:rsidR="00531D30">
        <w:t>ssets</w:t>
      </w:r>
      <w:r>
        <w:t xml:space="preserve"> &amp; financial asset</w:t>
      </w:r>
      <w:r w:rsidR="00D64CA2">
        <w:t>.</w:t>
      </w:r>
    </w:p>
    <w:p w:rsidR="00753268" w:rsidRDefault="00753268" w:rsidP="00753268">
      <w:pPr>
        <w:pStyle w:val="ListParagraph"/>
        <w:tabs>
          <w:tab w:val="left" w:pos="1527"/>
        </w:tabs>
      </w:pPr>
      <w:r>
        <w:t>For miners, bitcoins are like a product which they product by mining.</w:t>
      </w:r>
    </w:p>
    <w:p w:rsidR="00753268" w:rsidRDefault="00753268" w:rsidP="00753268">
      <w:pPr>
        <w:pStyle w:val="ListParagraph"/>
        <w:tabs>
          <w:tab w:val="left" w:pos="1527"/>
        </w:tabs>
      </w:pPr>
      <w:r>
        <w:t xml:space="preserve">For other investors, bitcoins </w:t>
      </w:r>
      <w:r w:rsidR="001562AE">
        <w:t>aren’t a real product. It’s just the ownership of the “block candidate”.</w:t>
      </w:r>
    </w:p>
    <w:p w:rsidR="005D1B3C" w:rsidRDefault="005D1B3C" w:rsidP="00753268">
      <w:pPr>
        <w:pStyle w:val="ListParagraph"/>
        <w:tabs>
          <w:tab w:val="left" w:pos="1527"/>
        </w:tabs>
      </w:pPr>
    </w:p>
    <w:p w:rsidR="005D1B3C" w:rsidRDefault="005D1B3C" w:rsidP="00753268">
      <w:pPr>
        <w:pStyle w:val="ListParagraph"/>
        <w:tabs>
          <w:tab w:val="left" w:pos="1527"/>
        </w:tabs>
      </w:pPr>
    </w:p>
    <w:p w:rsidR="005D1B3C" w:rsidRDefault="005D1B3C" w:rsidP="005D1B3C">
      <w:pPr>
        <w:tabs>
          <w:tab w:val="left" w:pos="1527"/>
        </w:tabs>
      </w:pPr>
    </w:p>
    <w:p w:rsidR="00DB03C4" w:rsidRDefault="00DB03C4" w:rsidP="005D1B3C">
      <w:pPr>
        <w:tabs>
          <w:tab w:val="left" w:pos="1527"/>
        </w:tabs>
      </w:pPr>
    </w:p>
    <w:p w:rsidR="00DB03C4" w:rsidRPr="00DB03C4" w:rsidRDefault="00DB03C4" w:rsidP="00DB03C4"/>
    <w:p w:rsidR="00DB03C4" w:rsidRPr="00DB03C4" w:rsidRDefault="00DB03C4" w:rsidP="00DB03C4"/>
    <w:p w:rsidR="00DB03C4" w:rsidRPr="00DB03C4" w:rsidRDefault="00DB03C4" w:rsidP="00DB03C4"/>
    <w:p w:rsidR="00DB03C4" w:rsidRDefault="00DB03C4" w:rsidP="00DB03C4"/>
    <w:p w:rsidR="005D1B3C" w:rsidRPr="00DB03C4" w:rsidRDefault="005D1B3C" w:rsidP="00DB03C4"/>
    <w:sectPr w:rsidR="005D1B3C" w:rsidRPr="00DB03C4" w:rsidSect="00D063F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50C6" w:rsidRDefault="00EB50C6" w:rsidP="005362F9">
      <w:r>
        <w:separator/>
      </w:r>
    </w:p>
  </w:endnote>
  <w:endnote w:type="continuationSeparator" w:id="0">
    <w:p w:rsidR="00EB50C6" w:rsidRDefault="00EB50C6" w:rsidP="00536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MR12">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50C6" w:rsidRDefault="00EB50C6" w:rsidP="005362F9">
      <w:r>
        <w:separator/>
      </w:r>
    </w:p>
  </w:footnote>
  <w:footnote w:type="continuationSeparator" w:id="0">
    <w:p w:rsidR="00EB50C6" w:rsidRDefault="00EB50C6" w:rsidP="005362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34D99"/>
    <w:multiLevelType w:val="hybridMultilevel"/>
    <w:tmpl w:val="8CCA8616"/>
    <w:lvl w:ilvl="0" w:tplc="A52CFB3A">
      <w:start w:val="1"/>
      <w:numFmt w:val="decimal"/>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1" w15:restartNumberingAfterBreak="0">
    <w:nsid w:val="3974584F"/>
    <w:multiLevelType w:val="hybridMultilevel"/>
    <w:tmpl w:val="832A78B0"/>
    <w:lvl w:ilvl="0" w:tplc="100AA19C">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 w15:restartNumberingAfterBreak="0">
    <w:nsid w:val="49213672"/>
    <w:multiLevelType w:val="hybridMultilevel"/>
    <w:tmpl w:val="6402F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2F9"/>
    <w:rsid w:val="00035234"/>
    <w:rsid w:val="0009085E"/>
    <w:rsid w:val="001562AE"/>
    <w:rsid w:val="0025206D"/>
    <w:rsid w:val="002D5B66"/>
    <w:rsid w:val="00312AA0"/>
    <w:rsid w:val="0034799E"/>
    <w:rsid w:val="003D3E43"/>
    <w:rsid w:val="00455B81"/>
    <w:rsid w:val="004D1BCC"/>
    <w:rsid w:val="00531D30"/>
    <w:rsid w:val="0053583B"/>
    <w:rsid w:val="005362F9"/>
    <w:rsid w:val="005D1B3C"/>
    <w:rsid w:val="00753268"/>
    <w:rsid w:val="00797C5D"/>
    <w:rsid w:val="00803700"/>
    <w:rsid w:val="008E3FA6"/>
    <w:rsid w:val="009F501B"/>
    <w:rsid w:val="00B1581E"/>
    <w:rsid w:val="00B45098"/>
    <w:rsid w:val="00D063F0"/>
    <w:rsid w:val="00D64CA2"/>
    <w:rsid w:val="00DB03C4"/>
    <w:rsid w:val="00EB5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CBF58A0-F789-DF40-B9D7-85C3E894C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62F9"/>
    <w:pPr>
      <w:tabs>
        <w:tab w:val="center" w:pos="4680"/>
        <w:tab w:val="right" w:pos="9360"/>
      </w:tabs>
    </w:pPr>
  </w:style>
  <w:style w:type="character" w:customStyle="1" w:styleId="HeaderChar">
    <w:name w:val="Header Char"/>
    <w:basedOn w:val="DefaultParagraphFont"/>
    <w:link w:val="Header"/>
    <w:uiPriority w:val="99"/>
    <w:rsid w:val="005362F9"/>
  </w:style>
  <w:style w:type="paragraph" w:styleId="Footer">
    <w:name w:val="footer"/>
    <w:basedOn w:val="Normal"/>
    <w:link w:val="FooterChar"/>
    <w:uiPriority w:val="99"/>
    <w:unhideWhenUsed/>
    <w:rsid w:val="005362F9"/>
    <w:pPr>
      <w:tabs>
        <w:tab w:val="center" w:pos="4680"/>
        <w:tab w:val="right" w:pos="9360"/>
      </w:tabs>
    </w:pPr>
  </w:style>
  <w:style w:type="character" w:customStyle="1" w:styleId="FooterChar">
    <w:name w:val="Footer Char"/>
    <w:basedOn w:val="DefaultParagraphFont"/>
    <w:link w:val="Footer"/>
    <w:uiPriority w:val="99"/>
    <w:rsid w:val="005362F9"/>
  </w:style>
  <w:style w:type="paragraph" w:styleId="ListParagraph">
    <w:name w:val="List Paragraph"/>
    <w:basedOn w:val="Normal"/>
    <w:uiPriority w:val="34"/>
    <w:qFormat/>
    <w:rsid w:val="00803700"/>
    <w:pPr>
      <w:ind w:left="720"/>
      <w:contextualSpacing/>
    </w:pPr>
  </w:style>
  <w:style w:type="table" w:styleId="TableGrid">
    <w:name w:val="Table Grid"/>
    <w:basedOn w:val="TableNormal"/>
    <w:uiPriority w:val="39"/>
    <w:rsid w:val="002D5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5B6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16615">
      <w:bodyDiv w:val="1"/>
      <w:marLeft w:val="0"/>
      <w:marRight w:val="0"/>
      <w:marTop w:val="0"/>
      <w:marBottom w:val="0"/>
      <w:divBdr>
        <w:top w:val="none" w:sz="0" w:space="0" w:color="auto"/>
        <w:left w:val="none" w:sz="0" w:space="0" w:color="auto"/>
        <w:bottom w:val="none" w:sz="0" w:space="0" w:color="auto"/>
        <w:right w:val="none" w:sz="0" w:space="0" w:color="auto"/>
      </w:divBdr>
      <w:divsChild>
        <w:div w:id="1862008839">
          <w:marLeft w:val="0"/>
          <w:marRight w:val="0"/>
          <w:marTop w:val="0"/>
          <w:marBottom w:val="0"/>
          <w:divBdr>
            <w:top w:val="none" w:sz="0" w:space="0" w:color="auto"/>
            <w:left w:val="none" w:sz="0" w:space="0" w:color="auto"/>
            <w:bottom w:val="none" w:sz="0" w:space="0" w:color="auto"/>
            <w:right w:val="none" w:sz="0" w:space="0" w:color="auto"/>
          </w:divBdr>
          <w:divsChild>
            <w:div w:id="1578855951">
              <w:marLeft w:val="0"/>
              <w:marRight w:val="0"/>
              <w:marTop w:val="0"/>
              <w:marBottom w:val="0"/>
              <w:divBdr>
                <w:top w:val="none" w:sz="0" w:space="0" w:color="auto"/>
                <w:left w:val="none" w:sz="0" w:space="0" w:color="auto"/>
                <w:bottom w:val="none" w:sz="0" w:space="0" w:color="auto"/>
                <w:right w:val="none" w:sz="0" w:space="0" w:color="auto"/>
              </w:divBdr>
              <w:divsChild>
                <w:div w:id="2034964080">
                  <w:marLeft w:val="0"/>
                  <w:marRight w:val="0"/>
                  <w:marTop w:val="0"/>
                  <w:marBottom w:val="0"/>
                  <w:divBdr>
                    <w:top w:val="none" w:sz="0" w:space="0" w:color="auto"/>
                    <w:left w:val="none" w:sz="0" w:space="0" w:color="auto"/>
                    <w:bottom w:val="none" w:sz="0" w:space="0" w:color="auto"/>
                    <w:right w:val="none" w:sz="0" w:space="0" w:color="auto"/>
                  </w:divBdr>
                  <w:divsChild>
                    <w:div w:id="12419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455772">
      <w:bodyDiv w:val="1"/>
      <w:marLeft w:val="0"/>
      <w:marRight w:val="0"/>
      <w:marTop w:val="0"/>
      <w:marBottom w:val="0"/>
      <w:divBdr>
        <w:top w:val="none" w:sz="0" w:space="0" w:color="auto"/>
        <w:left w:val="none" w:sz="0" w:space="0" w:color="auto"/>
        <w:bottom w:val="none" w:sz="0" w:space="0" w:color="auto"/>
        <w:right w:val="none" w:sz="0" w:space="0" w:color="auto"/>
      </w:divBdr>
      <w:divsChild>
        <w:div w:id="402946311">
          <w:marLeft w:val="0"/>
          <w:marRight w:val="0"/>
          <w:marTop w:val="0"/>
          <w:marBottom w:val="0"/>
          <w:divBdr>
            <w:top w:val="none" w:sz="0" w:space="0" w:color="auto"/>
            <w:left w:val="none" w:sz="0" w:space="0" w:color="auto"/>
            <w:bottom w:val="none" w:sz="0" w:space="0" w:color="auto"/>
            <w:right w:val="none" w:sz="0" w:space="0" w:color="auto"/>
          </w:divBdr>
          <w:divsChild>
            <w:div w:id="2069648577">
              <w:marLeft w:val="0"/>
              <w:marRight w:val="0"/>
              <w:marTop w:val="0"/>
              <w:marBottom w:val="0"/>
              <w:divBdr>
                <w:top w:val="none" w:sz="0" w:space="0" w:color="auto"/>
                <w:left w:val="none" w:sz="0" w:space="0" w:color="auto"/>
                <w:bottom w:val="none" w:sz="0" w:space="0" w:color="auto"/>
                <w:right w:val="none" w:sz="0" w:space="0" w:color="auto"/>
              </w:divBdr>
              <w:divsChild>
                <w:div w:id="118601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一夫 何</dc:creator>
  <cp:keywords/>
  <dc:description/>
  <cp:lastModifiedBy>一夫 何</cp:lastModifiedBy>
  <cp:revision>7</cp:revision>
  <dcterms:created xsi:type="dcterms:W3CDTF">2018-09-25T18:46:00Z</dcterms:created>
  <dcterms:modified xsi:type="dcterms:W3CDTF">2018-10-23T22:26:00Z</dcterms:modified>
</cp:coreProperties>
</file>