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《现当代设计史》导论（第四稿）与导论写作流程</w:t>
      </w:r>
    </w:p>
    <w:p>
      <w:pPr>
        <w:jc w:val="center"/>
      </w:pPr>
      <w:r>
        <w:rPr>
          <w:rFonts w:ascii="宋体" w:hAnsi="宋体" w:eastAsia="宋体"/>
          <w:sz w:val="22"/>
        </w:rPr>
        <w:t>工作文档　2026年10月9日</w:t>
      </w:r>
    </w:p>
    <w:p>
      <w:pPr>
        <w:spacing w:before="280" w:after="120"/>
      </w:pPr>
      <w:r>
        <w:rPr>
          <w:rFonts w:ascii="黑体" w:hAnsi="黑体" w:eastAsia="黑体"/>
          <w:b/>
          <w:sz w:val="32"/>
        </w:rPr>
        <w:t>目录</w:t>
      </w:r>
    </w:p>
    <w:p>
      <w:pPr>
        <w:spacing w:line="360" w:lineRule="auto" w:after="0"/>
      </w:pPr>
      <w:r>
        <w:rPr>
          <w:rFonts w:ascii="宋体" w:hAnsi="宋体" w:eastAsia="宋体"/>
          <w:sz w:val="22"/>
        </w:rPr>
        <w:t>第一部分　导论（第四稿）</w:t>
      </w:r>
    </w:p>
    <w:p>
      <w:pPr>
        <w:spacing w:line="360" w:lineRule="auto" w:after="0"/>
      </w:pPr>
      <w:r>
        <w:rPr>
          <w:rFonts w:ascii="宋体" w:hAnsi="宋体" w:eastAsia="宋体"/>
          <w:sz w:val="22"/>
        </w:rPr>
        <w:t>第二部分　导论内容框架</w:t>
      </w:r>
    </w:p>
    <w:p>
      <w:pPr>
        <w:spacing w:line="360" w:lineRule="auto" w:after="0"/>
      </w:pPr>
      <w:r>
        <w:rPr>
          <w:rFonts w:ascii="宋体" w:hAnsi="宋体" w:eastAsia="宋体"/>
          <w:sz w:val="22"/>
        </w:rPr>
        <w:t>第三部分　各轮修订规则</w:t>
      </w:r>
    </w:p>
    <w:p>
      <w:pPr>
        <w:spacing w:line="360" w:lineRule="auto" w:after="0"/>
      </w:pPr>
      <w:r>
        <w:rPr>
          <w:rFonts w:ascii="宋体" w:hAnsi="宋体" w:eastAsia="宋体"/>
          <w:sz w:val="22"/>
        </w:rPr>
        <w:t>第四部分　导论写作流程规则</w:t>
      </w:r>
    </w:p>
    <w:p>
      <w:pPr>
        <w:spacing w:line="360" w:lineRule="auto" w:after="0"/>
      </w:pPr>
      <w:r>
        <w:rPr>
          <w:rFonts w:ascii="宋体" w:hAnsi="宋体" w:eastAsia="宋体"/>
          <w:sz w:val="22"/>
        </w:rPr>
        <w:t>第五部分　篇幅核对与待办事项</w:t>
      </w:r>
    </w:p>
    <w:p>
      <w:r>
        <w:br w:type="page"/>
      </w:r>
    </w:p>
    <w:p>
      <w:pPr>
        <w:spacing w:before="280" w:after="120"/>
      </w:pPr>
      <w:r>
        <w:rPr>
          <w:rFonts w:ascii="黑体" w:hAnsi="黑体" w:eastAsia="黑体"/>
          <w:b/>
          <w:sz w:val="32"/>
        </w:rPr>
        <w:t>第一部分　导论（第四稿）</w:t>
      </w:r>
    </w:p>
    <w:p>
      <w:pPr>
        <w:spacing w:line="360" w:lineRule="auto" w:after="0"/>
      </w:pPr>
      <w:r>
        <w:rPr>
          <w:rFonts w:ascii="宋体" w:hAnsi="宋体" w:eastAsia="宋体"/>
          <w:sz w:val="22"/>
        </w:rPr>
        <w:t>说明：书稿正文暂未加引用标记，定稿时按出版社体例补脚注。</w:t>
      </w:r>
    </w:p>
    <w:p>
      <w:pPr>
        <w:spacing w:before="280" w:after="120"/>
        <w:jc w:val="center"/>
      </w:pPr>
      <w:r>
        <w:rPr>
          <w:rFonts w:ascii="黑体" w:hAnsi="黑体" w:eastAsia="黑体"/>
          <w:b/>
          <w:sz w:val="40"/>
        </w:rPr>
        <w:t>导论</w:t>
      </w:r>
    </w:p>
    <w:p>
      <w:pPr>
        <w:spacing w:line="360" w:lineRule="auto" w:after="0"/>
        <w:ind w:firstLine="440"/>
      </w:pPr>
      <w:r>
        <w:rPr>
          <w:rFonts w:ascii="宋体" w:hAnsi="宋体" w:eastAsia="宋体"/>
          <w:sz w:val="22"/>
        </w:rPr>
        <w:t>今天，我们生活在一个处处经过设计的世界里。住的房子，用的器物，读的书报，穿的衣服，以及每天面对的屏幕和界面，几乎都是事先构思、规划出来的。设计无处不在，人们反而常常意识不到它；可正是这些寻常的物品和图像，日积月累地塑造着人们的劳动、消费和日常生活。</w:t>
      </w:r>
    </w:p>
    <w:p>
      <w:pPr>
        <w:spacing w:line="360" w:lineRule="auto" w:after="0"/>
        <w:ind w:firstLine="440"/>
      </w:pPr>
      <w:r>
        <w:rPr>
          <w:rFonts w:ascii="宋体" w:hAnsi="宋体" w:eastAsia="宋体"/>
          <w:sz w:val="22"/>
        </w:rPr>
        <w:t>设计并不是从来就像今天这样。它成为生产中一个独立的环节，成为一种专门的职业，再发展为一门系统的学科，是工业革命以后两百多年间的事。这期间，不同时代、不同社会对"设计"的理解各不相同；设计承担的任务，也随着生产方式、技术条件和社会结构的变化而改变。所以，写现当代设计史，不仅要讲设计的形态和风格怎样演变，还要讲清楚设计为什么这样发展，它又怎样参与塑造了现代世界。</w:t>
      </w:r>
    </w:p>
    <w:p>
      <w:pPr>
        <w:spacing w:line="360" w:lineRule="auto" w:after="0"/>
        <w:ind w:firstLine="440"/>
      </w:pPr>
      <w:r>
        <w:rPr>
          <w:rFonts w:ascii="宋体" w:hAnsi="宋体" w:eastAsia="宋体"/>
          <w:sz w:val="22"/>
        </w:rPr>
        <w:t>本导论分四部分：先界定基本概念，再简述现当代设计的发展脉络，然后回顾已有研究、提出问题，最后说明本书的写作目的和体例。</w:t>
      </w:r>
    </w:p>
    <w:p>
      <w:pPr>
        <w:spacing w:before="160" w:after="120"/>
      </w:pPr>
      <w:r>
        <w:rPr>
          <w:rFonts w:ascii="黑体" w:hAnsi="黑体" w:eastAsia="黑体"/>
          <w:b/>
          <w:sz w:val="28"/>
        </w:rPr>
        <w:t>一、现代设计、现代主义设计与当代设计</w:t>
      </w:r>
    </w:p>
    <w:p>
      <w:pPr>
        <w:spacing w:line="360" w:lineRule="auto" w:after="0"/>
        <w:ind w:firstLine="440"/>
      </w:pPr>
      <w:r>
        <w:rPr>
          <w:rFonts w:ascii="宋体" w:hAnsi="宋体" w:eastAsia="宋体"/>
          <w:sz w:val="22"/>
        </w:rPr>
        <w:t>"现当代设计史"这个名称，牵涉三个关系密切又容易混淆的概念：现代设计、现代主义设计和当代设计。三者并不是前后相继、彼此取代的关系。如果不加分辨，就容易把一种风格当成一个时代，或者把一个时代读成一种风格。下面依次讨论这三个概念，然后说明它们之间的关系和本书的研究范围。</w:t>
      </w:r>
    </w:p>
    <w:p>
      <w:pPr>
        <w:spacing w:before="160" w:after="120"/>
      </w:pPr>
      <w:r>
        <w:rPr>
          <w:rFonts w:ascii="黑体" w:hAnsi="黑体" w:eastAsia="黑体"/>
          <w:b/>
          <w:sz w:val="24"/>
        </w:rPr>
        <w:t>（一）现代设计</w:t>
      </w:r>
    </w:p>
    <w:p>
      <w:pPr>
        <w:spacing w:line="360" w:lineRule="auto" w:after="0"/>
        <w:ind w:firstLine="440"/>
      </w:pPr>
      <w:r>
        <w:rPr>
          <w:rFonts w:ascii="宋体" w:hAnsi="宋体" w:eastAsia="宋体"/>
          <w:sz w:val="22"/>
        </w:rPr>
        <w:t>现代设计是随着现代社会的形成逐步发展起来的。工业革命以后，机器生产渐渐取代手工生产，制造规模不断扩大，分工也越来越细。手工生产时，一件器物做成什么样子，往往由工匠在制作中随手决定，构思和制作出自同一个人，在同一个过程中完成。到了批量生产，器物的形式、结构和尺寸必须在开工之前定下来，画成图纸，做成模型，写成技术规范，再交给工人制造。构思于是从制作中分离出来，成为一个独立的环节，由专人负责。设计也就有了明确的职业位置。</w:t>
      </w:r>
    </w:p>
    <w:p>
      <w:pPr>
        <w:spacing w:line="360" w:lineRule="auto" w:after="0"/>
        <w:ind w:firstLine="440"/>
      </w:pPr>
      <w:r>
        <w:rPr>
          <w:rFonts w:ascii="宋体" w:hAnsi="宋体" w:eastAsia="宋体"/>
          <w:sz w:val="22"/>
        </w:rPr>
        <w:t>不过，各地走上这条路的方式并不相同。英国的设计改革，起因是工业产品的审美危机和国际贸易竞争；美国的职业工业设计，是在市场竞争和刺激消费中成长起来的；苏联、中国、印度等国的现代设计，则在很大程度上和国家的工业化、现代化建设联系在一起。在许多地方，手工生产和机器生产长期并存，设计和工艺也未必分得那么清楚。可见，"构思与制作的分离"是理解现代设计的一条重要线索，却不能拿来当作统一的尺子，去衡量各地的设计够不够"现代"。</w:t>
      </w:r>
    </w:p>
    <w:p>
      <w:pPr>
        <w:spacing w:line="360" w:lineRule="auto" w:after="0"/>
        <w:ind w:firstLine="440"/>
      </w:pPr>
      <w:r>
        <w:rPr>
          <w:rFonts w:ascii="宋体" w:hAnsi="宋体" w:eastAsia="宋体"/>
          <w:sz w:val="22"/>
        </w:rPr>
        <w:t>因此，本书不给现代设计下一个适用于一切时代、一切地区的固定定义，而是把它看作一个历史概念：它产生于工业化和现代社会形成的过程中，含义、对象和任务则随着各个社会的生产方式、技术条件和制度安排而变化。就门类说，现代设计包括工业与产品设计、视觉传达设计、建筑与室内设计、家具与工艺设计、纺织与服装设计等；就作用说，它不仅决定物的形态，也参与组织人们的劳动、消费和日常生活。</w:t>
      </w:r>
    </w:p>
    <w:p>
      <w:pPr>
        <w:spacing w:before="160" w:after="120"/>
      </w:pPr>
      <w:r>
        <w:rPr>
          <w:rFonts w:ascii="黑体" w:hAnsi="黑体" w:eastAsia="黑体"/>
          <w:b/>
          <w:sz w:val="24"/>
        </w:rPr>
        <w:t>（二）现代主义设计</w:t>
      </w:r>
    </w:p>
    <w:p>
      <w:pPr>
        <w:spacing w:line="360" w:lineRule="auto" w:after="0"/>
        <w:ind w:firstLine="440"/>
      </w:pPr>
      <w:r>
        <w:rPr>
          <w:rFonts w:ascii="宋体" w:hAnsi="宋体" w:eastAsia="宋体"/>
          <w:sz w:val="22"/>
        </w:rPr>
        <w:t>在现代设计的发展中，现代主义设计的地位十分重要，但它并不等于现代设计的全部。</w:t>
      </w:r>
    </w:p>
    <w:p>
      <w:pPr>
        <w:spacing w:line="360" w:lineRule="auto" w:after="0"/>
        <w:ind w:firstLine="440"/>
      </w:pPr>
      <w:r>
        <w:rPr>
          <w:rFonts w:ascii="宋体" w:hAnsi="宋体" w:eastAsia="宋体"/>
          <w:sz w:val="22"/>
        </w:rPr>
        <w:t>现代主义设计（Modernist Design）是20世纪初兴起的一场设计运动，也是一股设计思潮。它以德意志制造联盟、荷兰风格派、俄国构成主义和德国包豪斯为代表，主张设计要适应机器生产，讲究功能、理性和标准化，反对沿袭历史样式，反对多余的装饰，还往往怀着改造社会、服务大众的理想。二战以后，现代主义以"国际主义风格"的面貌在西方长期居于主导地位，又随着国际贸易和设计教育的扩展传到世界各地。</w:t>
      </w:r>
    </w:p>
    <w:p>
      <w:pPr>
        <w:spacing w:line="360" w:lineRule="auto" w:after="0"/>
        <w:ind w:firstLine="440"/>
      </w:pPr>
      <w:r>
        <w:rPr>
          <w:rFonts w:ascii="宋体" w:hAnsi="宋体" w:eastAsia="宋体"/>
          <w:sz w:val="22"/>
        </w:rPr>
        <w:t>正因为现代主义影响很大，人们常把它当作现代设计的唯一正统。照这样看，19世纪的工艺美术运动只能算现代主义的"先驱"，1930年代美国的流线型设计只能算商业化的歧途，1960年代以后的后现代设计也只能算对现代主义的"反叛"。其实，这些设计都建立在工业化生产和消费的基础上，只是应对的办法各不相同：有的想用手工艺抵抗机器，有的靠更新外观来刺激消费，有的则用理性和标准化来改造生产。现代主义是其中影响最大的一种办法，却不是唯一的办法。分清现代设计和现代主义设计，就是为了看到现代设计内部多种观念、多种实践同时存在的局面。</w:t>
      </w:r>
    </w:p>
    <w:p>
      <w:pPr>
        <w:spacing w:before="160" w:after="120"/>
      </w:pPr>
      <w:r>
        <w:rPr>
          <w:rFonts w:ascii="黑体" w:hAnsi="黑体" w:eastAsia="黑体"/>
          <w:b/>
          <w:sz w:val="24"/>
        </w:rPr>
        <w:t>（三）当代设计</w:t>
      </w:r>
    </w:p>
    <w:p>
      <w:pPr>
        <w:spacing w:line="360" w:lineRule="auto" w:after="0"/>
        <w:ind w:firstLine="440"/>
      </w:pPr>
      <w:r>
        <w:rPr>
          <w:rFonts w:ascii="宋体" w:hAnsi="宋体" w:eastAsia="宋体"/>
          <w:sz w:val="22"/>
        </w:rPr>
        <w:t>分清了现代设计和现代主义设计，也就容易理解当代设计。当代设计不能简单地理解为"现代主义结束以后的设计"。它有对现代主义的反思和批判，也有现代设计在新条件下的延续和拓展。</w:t>
      </w:r>
    </w:p>
    <w:p>
      <w:pPr>
        <w:spacing w:line="360" w:lineRule="auto" w:after="0"/>
        <w:ind w:firstLine="440"/>
      </w:pPr>
      <w:r>
        <w:rPr>
          <w:rFonts w:ascii="宋体" w:hAnsi="宋体" w:eastAsia="宋体"/>
          <w:sz w:val="22"/>
        </w:rPr>
        <w:t>现代和当代从哪里分开，学界看法不一。国际上一般以1945年二战结束为界，这和欧洲当代史学科的形成时间一致；也有学者更看重1960年代后现代思潮的兴起，认为那才是设计观念真正的转折。按中国的历史分期，"当代"一般从1949年中华人民共和国成立算起。分界虽然不同，当代设计的基本特点却比较清楚：现代主义一统天下的局面被打破，设计走向多元；设计、制造和消费在全球范围内重新分布；电子技术、互联网和人工智能相继改变了设计的工具、媒介和对象。设计因此从有形的产品扩展到界面、服务和系统，参与设计的人也从职业设计师扩展到更多的使用者和生产者。</w:t>
      </w:r>
    </w:p>
    <w:p>
      <w:pPr>
        <w:spacing w:line="360" w:lineRule="auto" w:after="0"/>
        <w:ind w:firstLine="440"/>
      </w:pPr>
      <w:r>
        <w:rPr>
          <w:rFonts w:ascii="宋体" w:hAnsi="宋体" w:eastAsia="宋体"/>
          <w:sz w:val="22"/>
        </w:rPr>
        <w:t>另外，"当代"这个时间概念本身是流动的。写当代设计史，是在历史还没有结束的时候写历史：研究者本身就身处当代设计之中，所讨论的许多现象还在变化，其历史意义也有待时间检验。今天的当代，过若干年就会成为历史研究的对象。</w:t>
      </w:r>
    </w:p>
    <w:p>
      <w:pPr>
        <w:spacing w:before="160" w:after="120"/>
      </w:pPr>
      <w:r>
        <w:rPr>
          <w:rFonts w:ascii="黑体" w:hAnsi="黑体" w:eastAsia="黑体"/>
          <w:b/>
          <w:sz w:val="24"/>
        </w:rPr>
        <w:t>（四）三者的关系与本书的范围</w:t>
      </w:r>
    </w:p>
    <w:p>
      <w:pPr>
        <w:spacing w:line="360" w:lineRule="auto" w:after="0"/>
        <w:ind w:firstLine="440"/>
      </w:pPr>
      <w:r>
        <w:rPr>
          <w:rFonts w:ascii="宋体" w:hAnsi="宋体" w:eastAsia="宋体"/>
          <w:sz w:val="22"/>
        </w:rPr>
        <w:t>总之，现代设计、现代主义设计和当代设计不是三个依次更替的阶段。现代设计是本书讨论的基本范围；现代主义设计是其中一场重要的运动、一股重要的思潮，它形成于20世纪上半叶，在战后达到鼎盛，后来受到反思，却并没有消失；当代设计则是二战以后现代设计在新条件下的延续和变化。</w:t>
      </w:r>
    </w:p>
    <w:p>
      <w:pPr>
        <w:spacing w:line="360" w:lineRule="auto" w:after="0"/>
        <w:ind w:firstLine="440"/>
      </w:pPr>
      <w:r>
        <w:rPr>
          <w:rFonts w:ascii="宋体" w:hAnsi="宋体" w:eastAsia="宋体"/>
          <w:sz w:val="22"/>
        </w:rPr>
        <w:t>至于当代从哪里算起，本书在时间上以1945年为参照：战后重建和冷战改变了世界的政治经济格局，设计的任务也随之改变；中国1949年以后的设计，同样放在这个框架里讨论。在观念上，本书把1960—1970年代看作转折：国际主义风格在这时达到顶峰，也开始受到反思；随后，后现代、全球化和数字化的条件逐步形成。所以，当代设计的前一段仍以国际主义为主，后一段才走向多元。</w:t>
      </w:r>
    </w:p>
    <w:p>
      <w:pPr>
        <w:spacing w:line="360" w:lineRule="auto" w:after="0"/>
        <w:ind w:firstLine="440"/>
      </w:pPr>
      <w:r>
        <w:rPr>
          <w:rFonts w:ascii="宋体" w:hAnsi="宋体" w:eastAsia="宋体"/>
          <w:sz w:val="22"/>
        </w:rPr>
        <w:t>据此，本书所说的"现当代设计史"，是工业革命以来现代设计形成、发展并延续到当代的历史。时间上，从18世纪中叶写到今天；空间上，涵盖世界主要地区；内容上，既讨论设计运动、作品和人物，也讨论设计和技术、经济、社会、政治、文化之间的关系。</w:t>
      </w:r>
    </w:p>
    <w:p>
      <w:pPr>
        <w:spacing w:before="160" w:after="120"/>
      </w:pPr>
      <w:r>
        <w:rPr>
          <w:rFonts w:ascii="黑体" w:hAnsi="黑体" w:eastAsia="黑体"/>
          <w:b/>
          <w:sz w:val="28"/>
        </w:rPr>
        <w:t>二、现当代设计的发展脉络</w:t>
      </w:r>
    </w:p>
    <w:p>
      <w:pPr>
        <w:spacing w:line="360" w:lineRule="auto" w:after="0"/>
        <w:ind w:firstLine="440"/>
      </w:pPr>
      <w:r>
        <w:rPr>
          <w:rFonts w:ascii="宋体" w:hAnsi="宋体" w:eastAsia="宋体"/>
          <w:sz w:val="22"/>
        </w:rPr>
        <w:t>概念厘清以后，再来看现当代设计发展的基本脉络。本书按社会经济结构的变化分期，在各个阶段之内讨论设计运动、作品和人物。下面依次简述四个阶段：每个阶段先讲生产方式、市场和国家发生了什么变化，再讲设计怎样应对；中国和其他非西方地区的设计放在相应阶段里，和欧美对照着讲。这样分期是为了叙述方便。各阶段之间多有交叠，所标年份只是参照，不是截然的界限。</w:t>
      </w:r>
    </w:p>
    <w:p>
      <w:pPr>
        <w:spacing w:before="160" w:after="120"/>
      </w:pPr>
      <w:r>
        <w:rPr>
          <w:rFonts w:ascii="黑体" w:hAnsi="黑体" w:eastAsia="黑体"/>
          <w:b/>
          <w:sz w:val="24"/>
        </w:rPr>
        <w:t>（一）工业化与设计改革（约1760—1900）</w:t>
      </w:r>
    </w:p>
    <w:p>
      <w:pPr>
        <w:spacing w:line="360" w:lineRule="auto" w:after="0"/>
        <w:ind w:firstLine="440"/>
      </w:pPr>
      <w:r>
        <w:rPr>
          <w:rFonts w:ascii="宋体" w:hAnsi="宋体" w:eastAsia="宋体"/>
          <w:sz w:val="22"/>
        </w:rPr>
        <w:t>18世纪中叶，英国率先开始工业革命。蒸汽动力和机器生产改变了物品的制造方式；城市扩张，中产阶级壮大，对商品的需求也急剧增加。生产规模扩大以后，构思和制作开始在工厂内部分开，设计渐渐成为一个相对独立的环节。但是，早期的工业产品往往一边模仿手工制品的繁复装饰，一边又因为机器制造而显得粗糙。工业时代应该有什么样的物品，成了这一时期争论的焦点。</w:t>
      </w:r>
    </w:p>
    <w:p>
      <w:pPr>
        <w:spacing w:line="360" w:lineRule="auto" w:after="0"/>
        <w:ind w:firstLine="440"/>
      </w:pPr>
      <w:r>
        <w:rPr>
          <w:rFonts w:ascii="宋体" w:hAnsi="宋体" w:eastAsia="宋体"/>
          <w:sz w:val="22"/>
        </w:rPr>
        <w:t>1851年在伦敦举办的万国工业博览会，把这个问题集中摆到了人们面前。这次博览会由阿尔伯特亲王和亨利·科尔等人推动，目的是展示英国的工业成就，并和各国产品一比高下。从5月到10月，参观者超过600万人次。帕克斯顿用预制的铸铁和玻璃构件建起水晶宫，显示了工业生产的惊人能力；可馆内大量工业产品装饰堆砌、杂乱无章，又让当时的人对工业时代的审美水准忧心忡忡。此后，科尔、琼斯等英国设计改革者兴办设计教育，建设博物馆，整理装饰原理；以拉斯金为思想先导、以莫里斯为核心的工艺美术运动则主张复兴中世纪的手工艺传统，抵制机器生产对劳动和审美的双重伤害。</w:t>
      </w:r>
    </w:p>
    <w:p>
      <w:pPr>
        <w:spacing w:line="360" w:lineRule="auto" w:after="0"/>
        <w:ind w:firstLine="440"/>
      </w:pPr>
      <w:r>
        <w:rPr>
          <w:rFonts w:ascii="宋体" w:hAnsi="宋体" w:eastAsia="宋体"/>
          <w:sz w:val="22"/>
        </w:rPr>
        <w:t>另一些实践则直接面对批量生产。1859年，托耐特公司推出14号椅。这把椅子只用几根曲木构件和少量螺丝组装而成，可以拆开装箱，运到世界各地再组装起来；到1930年，销量已达5000万把。它说明，标准化的部件和运输方式同样可以造出简洁实用的形式，现代设计由此显露出另一条路径。</w:t>
      </w:r>
    </w:p>
    <w:p>
      <w:pPr>
        <w:spacing w:line="360" w:lineRule="auto" w:after="0"/>
        <w:ind w:firstLine="440"/>
      </w:pPr>
      <w:r>
        <w:rPr>
          <w:rFonts w:ascii="宋体" w:hAnsi="宋体" w:eastAsia="宋体"/>
          <w:sz w:val="22"/>
        </w:rPr>
        <w:t>设计观念也随着博览会和出口贸易传向世界各地。一般认为，1873年维也纳万国博览会前后，日本的纳富介次郎最早把英语的design译作"图案"。他参与了日本陶瓷等工艺品的出口工作，后来又先后创办四所工艺学校和工业学校，为各地产区提供图案指导。"图案"一词的出现说明，"设计"进入东亚，靠的是博览会、出口贸易和工艺教育这几条渠道。</w:t>
      </w:r>
    </w:p>
    <w:p>
      <w:pPr>
        <w:spacing w:line="360" w:lineRule="auto" w:after="0"/>
        <w:ind w:firstLine="440"/>
      </w:pPr>
      <w:r>
        <w:rPr>
          <w:rFonts w:ascii="宋体" w:hAnsi="宋体" w:eastAsia="宋体"/>
          <w:sz w:val="22"/>
        </w:rPr>
        <w:t>概括地说，这一阶段的核心问题，是艺术和机器的关系。改革者开出的方子各不相同：有人想回到手工艺，有人想为机器找到新的形式，有人则把设计看作国家产业竞争的手段。但他们都为20世纪设计正面接纳机器生产做了准备。</w:t>
      </w:r>
    </w:p>
    <w:p>
      <w:pPr>
        <w:spacing w:before="160" w:after="120"/>
      </w:pPr>
      <w:r>
        <w:rPr>
          <w:rFonts w:ascii="黑体" w:hAnsi="黑体" w:eastAsia="黑体"/>
          <w:b/>
          <w:sz w:val="24"/>
        </w:rPr>
        <w:t>（二）大生产与现代主义的形成（1900—1945）</w:t>
      </w:r>
    </w:p>
    <w:p>
      <w:pPr>
        <w:spacing w:line="360" w:lineRule="auto" w:after="0"/>
        <w:ind w:firstLine="440"/>
      </w:pPr>
      <w:r>
        <w:rPr>
          <w:rFonts w:ascii="宋体" w:hAnsi="宋体" w:eastAsia="宋体"/>
          <w:sz w:val="22"/>
        </w:rPr>
        <w:t>进入20世纪，工业生产的规模和组织方式又有了新的飞跃。电力、钢铁、化工等产业迅速发展，大企业成为经济生活的中心，设计也开始系统地进入企业和工厂。1907年，贝伦斯出任德国通用电气公司（AEG）的艺术顾问，统一设计公司的标志、产品、广告和厂房。一般认为，这是现代企业形象设计的开端。</w:t>
      </w:r>
    </w:p>
    <w:p>
      <w:pPr>
        <w:spacing w:line="360" w:lineRule="auto" w:after="0"/>
        <w:ind w:firstLine="440"/>
      </w:pPr>
      <w:r>
        <w:rPr>
          <w:rFonts w:ascii="宋体" w:hAnsi="宋体" w:eastAsia="宋体"/>
          <w:sz w:val="22"/>
        </w:rPr>
        <w:t>这一时期最具标志性的生产变革，是福特公司的流水线。1913年，福特在密歇根州海兰帕克工厂引入移动式装配线，T型车的单车装配时间从大约12.5小时缩短到1小时33分钟。流水线本身不是设计作品，却从根本上改变了设计的前提：零件必须完全标准化、可以互换，工人的劳动被拆成简单重复的动作，产品则以低廉的价格进入大众市场。所谓"大生产"，就是在这样的条件下真正确立起来的。</w:t>
      </w:r>
    </w:p>
    <w:p>
      <w:pPr>
        <w:spacing w:line="360" w:lineRule="auto" w:after="0"/>
        <w:ind w:firstLine="440"/>
      </w:pPr>
      <w:r>
        <w:rPr>
          <w:rFonts w:ascii="宋体" w:hAnsi="宋体" w:eastAsia="宋体"/>
          <w:sz w:val="22"/>
        </w:rPr>
        <w:t>对于大生产，欧洲设计界从理论和教育上作了系统的回答。1919年，格罗皮乌斯在魏玛创办包豪斯，提出艺术与技术相统一。学校后来先后迁到德绍和柏林，经过格罗皮乌斯、迈耶和密斯三任校长，逐步建立起为批量生产而设计的教学体系，到1933年在纳粹的压力下关闭。包豪斯的师生随后流散到世界各地，它的教学模式也成了现代设计教育的范式。差不多同一时期，荷兰风格派和俄国构成主义也各自提出了现代设计的主张；而在大西洋彼岸，美国企业在大萧条中大量聘用职业设计师改进产品外观，流线型风格随之风行。欧洲的现代主义以理性和社会理想为归依，美国的职业工业设计则以市场和消费为导向。</w:t>
      </w:r>
    </w:p>
    <w:p>
      <w:pPr>
        <w:spacing w:line="360" w:lineRule="auto" w:after="0"/>
        <w:ind w:firstLine="440"/>
      </w:pPr>
      <w:r>
        <w:rPr>
          <w:rFonts w:ascii="宋体" w:hAnsi="宋体" w:eastAsia="宋体"/>
          <w:sz w:val="22"/>
        </w:rPr>
        <w:t>中国的现代设计也在这一时期起步。1923年，留日归国的陈之佛在上海创办"尚美图案馆"，专门为丝绸厂和染织业设计纹样。论者认为，这标志着在中国的现代工业生产中，设计开始与制造分工，并作为一个行业独立出现。然而，图案馆资金短缺，社会上又普遍不了解设计的价值，开办几年就只好停业。尚美图案馆的兴衰说明，中国现代设计从起步时起，就受到工业基础和社会条件的制约。此后，陈之佛、雷圭元、庞薰琹等人转而从图案教育入手，推动中国现代设计的发展。</w:t>
      </w:r>
    </w:p>
    <w:p>
      <w:pPr>
        <w:spacing w:line="360" w:lineRule="auto" w:after="0"/>
        <w:ind w:firstLine="440"/>
      </w:pPr>
      <w:r>
        <w:rPr>
          <w:rFonts w:ascii="宋体" w:hAnsi="宋体" w:eastAsia="宋体"/>
          <w:sz w:val="22"/>
        </w:rPr>
        <w:t>1930年代后期起，战争又一次改变了设计的任务。各参战国把工业生产和视觉传播都纳入战争动员：工厂转产军需，产品设计要服从材料管制和标准化的要求，海报、标识和宣传品成了动员民众的工具。在中国，美术工作者投身抗战，木刻和宣传画成为战时视觉传播的主要形式。到1945年，大生产的组织方式、标准化的方法和国家对设计的动员都已经成形，成了战后设计的出发点。</w:t>
      </w:r>
    </w:p>
    <w:p>
      <w:pPr>
        <w:spacing w:before="160" w:after="120"/>
      </w:pPr>
      <w:r>
        <w:rPr>
          <w:rFonts w:ascii="黑体" w:hAnsi="黑体" w:eastAsia="黑体"/>
          <w:b/>
          <w:sz w:val="24"/>
        </w:rPr>
        <w:t>（三）战后重建、冷战与国际主义（1945—1970年代）</w:t>
      </w:r>
    </w:p>
    <w:p>
      <w:pPr>
        <w:spacing w:line="360" w:lineRule="auto" w:after="0"/>
        <w:ind w:firstLine="440"/>
      </w:pPr>
      <w:r>
        <w:rPr>
          <w:rFonts w:ascii="宋体" w:hAnsi="宋体" w:eastAsia="宋体"/>
          <w:sz w:val="22"/>
        </w:rPr>
        <w:t>二战以后，世界进入战后重建和冷战对峙的时期。西方国家推行福利政策，大众消费兴起，经济走向繁荣；社会主义国家实行计划经济，推进国家工业化；大批新独立的国家则把发展工业当作建设民族国家的头等大事。在这三种不同的体制下，设计承担着不同的任务。</w:t>
      </w:r>
    </w:p>
    <w:p>
      <w:pPr>
        <w:spacing w:line="360" w:lineRule="auto" w:after="0"/>
        <w:ind w:firstLine="440"/>
      </w:pPr>
      <w:r>
        <w:rPr>
          <w:rFonts w:ascii="宋体" w:hAnsi="宋体" w:eastAsia="宋体"/>
          <w:sz w:val="22"/>
        </w:rPr>
        <w:t>在西方，现代主义设计全面确立，并进一步走向系统化和科学化。1953年创办的德国乌尔姆设计学院继承了包豪斯的传统，又引入社会学、符号学、系统论和人机工程学等新知识，主张用科学方法解决设计问题。乌尔姆和博朗公司的合作最有代表性：1956年推出的SK4唱机收音机，外形简洁，操作清楚，各部分可以组合，是这一时期新理性主义的代表。与此同时，美国的中世纪现代设计、斯堪的纳维亚设计和意大利设计各有特色，国际主义风格在1960—1970年代达到顶峰。</w:t>
      </w:r>
    </w:p>
    <w:p>
      <w:pPr>
        <w:spacing w:line="360" w:lineRule="auto" w:after="0"/>
        <w:ind w:firstLine="440"/>
      </w:pPr>
      <w:r>
        <w:rPr>
          <w:rFonts w:ascii="宋体" w:hAnsi="宋体" w:eastAsia="宋体"/>
          <w:sz w:val="22"/>
        </w:rPr>
        <w:t>新独立的国家，则把设计纳入了国家建设。1957年，印度政府通过福特基金会邀请美国设计师伊姆斯夫妇访问印度。第二年4月，二人向印度政府提交《印度报告》，建议设立一所兼做研究、培训和服务的设计机构。1961年，国立工业设计学院（今印度国立设计学院）在艾哈迈达巴德成立。从这件事可以看出，新兴国家把设计看作实现工业化的重要手段；同时，它也反映了冷战时期国际援助和知识输出的格局。拉丁美洲的设计同样和工业化政策联系在一起，而且很早就有了自己的设计教育。1963年，巴西里约热内卢的高等工业设计学院开学，课程以乌尔姆为蓝本，教师也多是乌尔姆的毕业生；1970年代初，出身乌尔姆的邦西佩在智利阿连德政府的国家技术研究机构主持工业设计组，为本国工业开发日用产品。乌尔姆的方法并不是简单地从中心传到边缘，而是在拉美的产业政策中被改造、被重新使用。</w:t>
      </w:r>
    </w:p>
    <w:p>
      <w:pPr>
        <w:spacing w:line="360" w:lineRule="auto" w:after="0"/>
        <w:ind w:firstLine="440"/>
      </w:pPr>
      <w:r>
        <w:rPr>
          <w:rFonts w:ascii="宋体" w:hAnsi="宋体" w:eastAsia="宋体"/>
          <w:sz w:val="22"/>
        </w:rPr>
        <w:t>社会主义国家则把设计纳入计划经济。1962年，苏联部长会议作出决议，要求用“艺术设计构造”的方法提高机器产品和日用品的质量，并在莫斯科设立全苏技术美学研究所。中国的设计也服务于国家工业化的整体规划。1956年，中央工艺美术学院在北京成立。此后几十年，"工艺美术"成为统摄传统工艺、民间工艺和现代设计的核心概念。在汽车工业方面，红旗CA770三排座高级轿车是计划经济体制下国家主导设计的代表。它被看作中国第一辆正向开发的轿车，1966年4月首批20辆交付北京，用于接待外国元首。和市场主导的西方设计不同，这类设计服务于国家的政治需要和工业自主的目标。</w:t>
      </w:r>
    </w:p>
    <w:p>
      <w:pPr>
        <w:spacing w:line="360" w:lineRule="auto" w:after="0"/>
        <w:ind w:firstLine="440"/>
      </w:pPr>
      <w:r>
        <w:rPr>
          <w:rFonts w:ascii="宋体" w:hAnsi="宋体" w:eastAsia="宋体"/>
          <w:sz w:val="22"/>
        </w:rPr>
        <w:t>然而，国际主义风格如日中天之时，反思也已经开始了。波普设计用鲜艳的色彩和用过即弃的消费品挑战精英审美，意大利激进设计质疑功能主义的教条，帕帕奈克则在1971年出版的《为真实世界设计》中呼吁设计承担社会责任和生态责任。现代主义一统天下的局面，从此开始松动。</w:t>
      </w:r>
    </w:p>
    <w:p>
      <w:pPr>
        <w:spacing w:before="160" w:after="120"/>
      </w:pPr>
      <w:r>
        <w:rPr>
          <w:rFonts w:ascii="黑体" w:hAnsi="黑体" w:eastAsia="黑体"/>
          <w:b/>
          <w:sz w:val="24"/>
        </w:rPr>
        <w:t>（四）后工业、全球化与多元设计（1970年代至今）</w:t>
      </w:r>
    </w:p>
    <w:p>
      <w:pPr>
        <w:spacing w:line="360" w:lineRule="auto" w:after="0"/>
        <w:ind w:firstLine="440"/>
      </w:pPr>
      <w:r>
        <w:rPr>
          <w:rFonts w:ascii="宋体" w:hAnsi="宋体" w:eastAsia="宋体"/>
          <w:sz w:val="22"/>
        </w:rPr>
        <w:t>1970年代以后，西方发达国家逐步进入后工业社会：制造业向外转移，服务业和信息产业迅速发展，消费越来越个人化、多样化。随后，经济全球化在世界范围内重新划分了设计、制造和销售的分工。设计要回答的问题，已经不再是怎样为大生产提供标准化产品，而是怎样满足多样的个人需求，怎样面对复杂的全球市场。</w:t>
      </w:r>
    </w:p>
    <w:p>
      <w:pPr>
        <w:spacing w:line="360" w:lineRule="auto" w:after="0"/>
        <w:ind w:firstLine="440"/>
      </w:pPr>
      <w:r>
        <w:rPr>
          <w:rFonts w:ascii="宋体" w:hAnsi="宋体" w:eastAsia="宋体"/>
          <w:sz w:val="22"/>
        </w:rPr>
        <w:t>1979年7月，日本索尼公司推出随身听（Walkman）。有了这台便携式立体声磁带播放机，人们可以边走边听，独自欣赏音乐，个人化的生活方式由此兴起。到2010年磁带款停产时，随身听累计销量已超过2亿台。它的成功说明，设计的重心正从标准化的大众产品转向个人的使用体验；同时也说明，设计创新的中心已经不限于欧美。</w:t>
      </w:r>
    </w:p>
    <w:p>
      <w:pPr>
        <w:spacing w:line="360" w:lineRule="auto" w:after="0"/>
        <w:ind w:firstLine="440"/>
      </w:pPr>
      <w:r>
        <w:rPr>
          <w:rFonts w:ascii="宋体" w:hAnsi="宋体" w:eastAsia="宋体"/>
          <w:sz w:val="22"/>
        </w:rPr>
        <w:t>设计观念上，后现代设计正式登场。1980年12月，索特萨斯和一批年轻设计师在米兰聚会，组成孟菲斯设计集团；1981年9月，集团在米兰举办首次展览。孟菲斯的作品造型夸张，色彩鲜艳，重新肯定装饰的价值，公开挑战"形式追随功能"的信条，也模糊了设计和艺术的界限。从此，设计不再由某一种风格主导，而是多种风格并存。</w:t>
      </w:r>
    </w:p>
    <w:p>
      <w:pPr>
        <w:spacing w:line="360" w:lineRule="auto" w:after="0"/>
        <w:ind w:firstLine="440"/>
      </w:pPr>
      <w:r>
        <w:rPr>
          <w:rFonts w:ascii="宋体" w:hAnsi="宋体" w:eastAsia="宋体"/>
          <w:sz w:val="22"/>
        </w:rPr>
        <w:t>到了全球化时代，构思与制作的分离已经越出工厂，扩展到国家和地区之间。19世纪，这种分离发生在一座工厂里；到了21世纪，设计可以在一个国家完成，制造却在另一个国家进行。苹果公司在产品上标注"在加州设计、在中国组装"，就是全球价值链中设计与制造分离的典型例子。改革开放以后，中国承接国际产业转移，逐步成为世界制造业的中心；怎样从"中国制造"走向"中国设计"，也就成了中国设计在全球化时代面对的核心问题。与此同时，个人电脑、互联网、移动设备和生成式人工智能相继改变了设计的工具和对象，交互设计、服务设计和系统设计越来越重要。现当代设计史，就在这些变化中一直延续到今天。</w:t>
      </w:r>
    </w:p>
    <w:p>
      <w:pPr>
        <w:spacing w:before="160" w:after="120"/>
      </w:pPr>
      <w:r>
        <w:rPr>
          <w:rFonts w:ascii="黑体" w:hAnsi="黑体" w:eastAsia="黑体"/>
          <w:b/>
          <w:sz w:val="28"/>
        </w:rPr>
        <w:t>三、学术史回顾与问题的提出</w:t>
      </w:r>
    </w:p>
    <w:p>
      <w:pPr>
        <w:spacing w:line="360" w:lineRule="auto" w:after="0"/>
        <w:ind w:firstLine="440"/>
      </w:pPr>
      <w:r>
        <w:rPr>
          <w:rFonts w:ascii="宋体" w:hAnsi="宋体" w:eastAsia="宋体"/>
          <w:sz w:val="22"/>
        </w:rPr>
        <w:t>上面勾勒的发展脉络，建立在已有设计史研究的基础上。可是，历史怎样讲述，和历史本身一样值得追问：哪些对象写进了历史，哪些被排除在外，叙述以哪里为中心，又用什么标准评判，都取决于研究者的立场和方法。所以，在提出本书的问题之前，有必要先回顾现当代设计史研究的发展。大致说来，研究重心先后经历了四次转移。</w:t>
      </w:r>
    </w:p>
    <w:p>
      <w:pPr>
        <w:spacing w:before="160" w:after="120"/>
      </w:pPr>
      <w:r>
        <w:rPr>
          <w:rFonts w:ascii="黑体" w:hAnsi="黑体" w:eastAsia="黑体"/>
          <w:b/>
          <w:sz w:val="24"/>
        </w:rPr>
        <w:t>（一）现代主义谱系的建立</w:t>
      </w:r>
    </w:p>
    <w:p>
      <w:pPr>
        <w:spacing w:line="360" w:lineRule="auto" w:after="0"/>
        <w:ind w:firstLine="440"/>
      </w:pPr>
      <w:r>
        <w:rPr>
          <w:rFonts w:ascii="宋体" w:hAnsi="宋体" w:eastAsia="宋体"/>
          <w:sz w:val="22"/>
        </w:rPr>
        <w:t>现代设计史最初是在建筑史和艺术史的学术传统中写出来的。几部公认的奠基之作，作者大多是建筑史家：佩夫斯纳的《现代运动的先驱：从威廉·莫里斯到沃尔特·格罗皮乌斯》（1936年初版，1949年再版时改名为《现代设计的先驱》），吉迪恩的《机械化挂帅》（1948），班纳姆的《第一机械时代的理论与设计》（1960）。</w:t>
      </w:r>
    </w:p>
    <w:p>
      <w:pPr>
        <w:spacing w:line="360" w:lineRule="auto" w:after="0"/>
        <w:ind w:firstLine="440"/>
      </w:pPr>
      <w:r>
        <w:rPr>
          <w:rFonts w:ascii="宋体" w:hAnsi="宋体" w:eastAsia="宋体"/>
          <w:sz w:val="22"/>
        </w:rPr>
        <w:t>其中影响最深远的是佩夫斯纳。他把德国艺术史和建筑史的方法用于设计研究，以设计师为中心，排出了一条从莫里斯到格罗皮乌斯的谱系。此后几十年的设计通史，大多沿用这个框架：以英国工业革命和1851年世博会为起点，以工艺美术运动为源头，以包豪斯和现代主义为顶点。班纳姆在一定程度上修正了这条谱系。他重新审视未来主义等被佩夫斯纳放在边缘的运动，揭示出现代主义内部的复杂性。</w:t>
      </w:r>
    </w:p>
    <w:p>
      <w:pPr>
        <w:spacing w:line="360" w:lineRule="auto" w:after="0"/>
        <w:ind w:firstLine="440"/>
      </w:pPr>
      <w:r>
        <w:rPr>
          <w:rFonts w:ascii="宋体" w:hAnsi="宋体" w:eastAsia="宋体"/>
          <w:sz w:val="22"/>
        </w:rPr>
        <w:t>可以说，这一阶段的设计史，在很大程度上就是现代主义运动的"前史"和"正史"。它为设计史提供了第一套叙述框架，也留下了几个长期存在的问题：以大师和名作为中心，以风格演进为线索，以欧洲为起点和归宿。</w:t>
      </w:r>
    </w:p>
    <w:p>
      <w:pPr>
        <w:spacing w:before="160" w:after="120"/>
      </w:pPr>
      <w:r>
        <w:rPr>
          <w:rFonts w:ascii="黑体" w:hAnsi="黑体" w:eastAsia="黑体"/>
          <w:b/>
          <w:sz w:val="24"/>
        </w:rPr>
        <w:t>（二）社会与生产的转向</w:t>
      </w:r>
    </w:p>
    <w:p>
      <w:pPr>
        <w:spacing w:line="360" w:lineRule="auto" w:after="0"/>
        <w:ind w:firstLine="440"/>
      </w:pPr>
      <w:r>
        <w:rPr>
          <w:rFonts w:ascii="宋体" w:hAnsi="宋体" w:eastAsia="宋体"/>
          <w:sz w:val="22"/>
        </w:rPr>
        <w:t>1970—1980年代，设计史在英国逐步成为一门独立学科，标志是1977年设计史学会成立和1988年《设计史刊》创刊。学科化的同时，研究者开始反思奠基阶段的叙述方式，把目光从设计师转向设计赖以产生的社会和生产体制。</w:t>
      </w:r>
    </w:p>
    <w:p>
      <w:pPr>
        <w:spacing w:line="360" w:lineRule="auto" w:after="0"/>
        <w:ind w:firstLine="440"/>
      </w:pPr>
      <w:r>
        <w:rPr>
          <w:rFonts w:ascii="宋体" w:hAnsi="宋体" w:eastAsia="宋体"/>
          <w:sz w:val="22"/>
        </w:rPr>
        <w:t>1980年，赫斯克特出版《工业设计》，指出工业设计师这个职业是大工业分工不断深化的结果。1986年，福蒂出版《欲望之物：1750年以来的设计与社会》，对英雄史观的批评更加直接。他认为，设计产生于资本主义历史的特定阶段，设计史因此也是社会史；要解释设计的变化，就必须弄清设计和经济、社会条件之间怎样相互作用。在理论层面，迪尔诺特1984年发表长文《设计史的现状》，批评早期设计史家既不肯明确研究对象，也不肯思考设计史有什么用；他强调，对设计研究得越深入，社会和历史背景就越重要。</w:t>
      </w:r>
    </w:p>
    <w:p>
      <w:pPr>
        <w:spacing w:line="360" w:lineRule="auto" w:after="0"/>
        <w:ind w:firstLine="440"/>
      </w:pPr>
      <w:r>
        <w:rPr>
          <w:rFonts w:ascii="宋体" w:hAnsi="宋体" w:eastAsia="宋体"/>
          <w:sz w:val="22"/>
        </w:rPr>
        <w:t>值得注意的是，这种转向并不是英国独有的。1979年，日本学者柏木博出版《近代日本的产业设计思想》，从产业的角度梳理明治以来日本设计的发展。日英两国的研究几乎同时把设计放回工业和社会之中考察，说明这次转向回应的是工业社会设计研究共同面临的问题。</w:t>
      </w:r>
    </w:p>
    <w:p>
      <w:pPr>
        <w:spacing w:before="160" w:after="120"/>
      </w:pPr>
      <w:r>
        <w:rPr>
          <w:rFonts w:ascii="黑体" w:hAnsi="黑体" w:eastAsia="黑体"/>
          <w:b/>
          <w:sz w:val="24"/>
        </w:rPr>
        <w:t>（三）消费、性别与日常生活</w:t>
      </w:r>
    </w:p>
    <w:p>
      <w:pPr>
        <w:spacing w:line="360" w:lineRule="auto" w:after="0"/>
        <w:ind w:firstLine="440"/>
      </w:pPr>
      <w:r>
        <w:rPr>
          <w:rFonts w:ascii="宋体" w:hAnsi="宋体" w:eastAsia="宋体"/>
          <w:sz w:val="22"/>
        </w:rPr>
        <w:t>1980年代后期起，设计史研究的视线又从生产者转向使用者，从设计怎样被创造，转向设计怎样被消费、被使用。</w:t>
      </w:r>
    </w:p>
    <w:p>
      <w:pPr>
        <w:spacing w:line="360" w:lineRule="auto" w:after="0"/>
        <w:ind w:firstLine="440"/>
      </w:pPr>
      <w:r>
        <w:rPr>
          <w:rFonts w:ascii="宋体" w:hAnsi="宋体" w:eastAsia="宋体"/>
          <w:sz w:val="22"/>
        </w:rPr>
        <w:t>性别视角的引入，是这次转向的重要部分。1986年，巴克利发表《父权制之造物：走向关于女性与设计的女性主义分析》。她指出，女性以设计者、消费者和被表现对象等多种身份参与了设计，设计史却长期忽视她们；即使提到，也常把她们归入"装饰性的""女性化的"从属类别。与此同时，物质文化研究和人类学的影响越来越大，研究对象扩展到物品从构思、生产、流通到消费的全过程。学科边界本身也引起了争论：1990年代初，马格林主张用更宽泛的"设计研究"拓展设计史，福蒂则在1993年撰文回应，坚持设计史作为历史学科的独立地位。到2010年，法兰在《设计史：理解理论与方法》中系统梳理了设计史从艺术史、文化史和物质文化研究中吸收的理论资源，学科的方法论由此走向成熟。</w:t>
      </w:r>
    </w:p>
    <w:p>
      <w:pPr>
        <w:spacing w:line="360" w:lineRule="auto" w:after="0"/>
        <w:ind w:firstLine="440"/>
      </w:pPr>
      <w:r>
        <w:rPr>
          <w:rFonts w:ascii="宋体" w:hAnsi="宋体" w:eastAsia="宋体"/>
          <w:sz w:val="22"/>
        </w:rPr>
        <w:t>在非西方和非资本主义的背景下，这次转向也有各自的面貌。柏木博在《家事的政治学》（1995）等书中，把设计放到家庭和日常生活中考察，讨论现代家庭观念和设计的关系。凯尔的《想象没有私有物：俄国构成主义的社会主义物品》（2005）则研究1920年代苏联构成主义者怎样设计作为"同志"的物品，用来对抗资本主义的商品拜物教。由此可见，现代设计并不只有资本主义一种形态；理解设计和使用者的关系，"消费史"也不是唯一的框架。</w:t>
      </w:r>
    </w:p>
    <w:p>
      <w:pPr>
        <w:spacing w:before="160" w:after="120"/>
      </w:pPr>
      <w:r>
        <w:rPr>
          <w:rFonts w:ascii="黑体" w:hAnsi="黑体" w:eastAsia="黑体"/>
          <w:b/>
          <w:sz w:val="24"/>
        </w:rPr>
        <w:t>（四）区域、全球与去殖民化</w:t>
      </w:r>
    </w:p>
    <w:p>
      <w:pPr>
        <w:spacing w:line="360" w:lineRule="auto" w:after="0"/>
        <w:ind w:firstLine="440"/>
      </w:pPr>
      <w:r>
        <w:rPr>
          <w:rFonts w:ascii="宋体" w:hAnsi="宋体" w:eastAsia="宋体"/>
          <w:sz w:val="22"/>
        </w:rPr>
        <w:t>20世纪末以来，设计史研究又发生了一次重大转向：从以欧美为中心的叙述，走向区域和全球的视野。</w:t>
      </w:r>
    </w:p>
    <w:p>
      <w:pPr>
        <w:spacing w:line="360" w:lineRule="auto" w:after="0"/>
        <w:ind w:firstLine="440"/>
      </w:pPr>
      <w:r>
        <w:rPr>
          <w:rFonts w:ascii="宋体" w:hAnsi="宋体" w:eastAsia="宋体"/>
          <w:sz w:val="22"/>
        </w:rPr>
        <w:t>区域研究的积累为这次转向打下了基础。费尔南德斯和邦西佩主编的《拉丁美洲与加勒比设计史》（2008），把拉美各国的设计放到各自的经济、社会和产业政策中考察。邦西佩在序言里还指出，1960年代到1970年代中期，拉美的设计职业和设计教育比不少欧洲国家还要先进。这个看法，动摇了"中心先进、边缘落后"的扩散论。印度设计教育家巴拉拉姆在《思考设计》中也指出，西方的现代设计主要是对批量生产的回应，而印度的传统从不把艺术和手工艺截然分开，所以不能照搬西方的设计概念。</w:t>
      </w:r>
    </w:p>
    <w:p>
      <w:pPr>
        <w:spacing w:line="360" w:lineRule="auto" w:after="0"/>
        <w:ind w:firstLine="440"/>
      </w:pPr>
      <w:r>
        <w:rPr>
          <w:rFonts w:ascii="宋体" w:hAnsi="宋体" w:eastAsia="宋体"/>
          <w:sz w:val="22"/>
        </w:rPr>
        <w:t>在此基础上，全球设计史的写作逐渐成形。2011年，亚当森、列洛和蒂斯利主编的《全球设计史》出版。编者批评人们常把"全球"当作"网络""流动"一类空泛的概念，主张通过具体的物品，考察贸易、帝国和跨文化的设计实践。2015年，马格林出版《世界设计史》前两卷，他的写作初衷，正是因为拉美、亚洲、非洲和中东的设计长期在大型通史里缺席。2016年，来自全球南方的研究者成立"去殖民化设计"小组，进一步追问设计知识中的欧洲中心主义，以及它和殖民历史的关系。这些议题如今已进入学科主流，2025年出版的《设计史读本》第二版就专门增加了去殖民化设计的内容。</w:t>
      </w:r>
    </w:p>
    <w:p>
      <w:pPr>
        <w:spacing w:before="160" w:after="120"/>
      </w:pPr>
      <w:r>
        <w:rPr>
          <w:rFonts w:ascii="黑体" w:hAnsi="黑体" w:eastAsia="黑体"/>
          <w:b/>
          <w:sz w:val="24"/>
        </w:rPr>
        <w:t>（五）中国设计史学的演进</w:t>
      </w:r>
    </w:p>
    <w:p>
      <w:pPr>
        <w:spacing w:line="360" w:lineRule="auto" w:after="0"/>
        <w:ind w:firstLine="440"/>
      </w:pPr>
      <w:r>
        <w:rPr>
          <w:rFonts w:ascii="宋体" w:hAnsi="宋体" w:eastAsia="宋体"/>
          <w:sz w:val="22"/>
        </w:rPr>
        <w:t>中国的设计史研究起步于1980年代，学术背景和问题意识自成脉络，所以在这里集中讨论。</w:t>
      </w:r>
    </w:p>
    <w:p>
      <w:pPr>
        <w:spacing w:line="360" w:lineRule="auto" w:after="0"/>
        <w:ind w:firstLine="440"/>
      </w:pPr>
      <w:r>
        <w:rPr>
          <w:rFonts w:ascii="宋体" w:hAnsi="宋体" w:eastAsia="宋体"/>
          <w:sz w:val="22"/>
        </w:rPr>
        <w:t>最初，中国的设计史研究以引介世界设计史为主。王受之1985年出版《世界工业设计史略》，1990年代初以《世界现代设计史》为名再版，2002年又由中国青年出版社出了新版。何人可主编的《工业设计史》按年代叙述设计流派、风格、设计师和作品，也兼顾设计发展的社会和文化条件。这两部书长期是国内设计专业的核心教材，为中国的设计史教育搭起了基本的知识框架。不过，它们大体沿用了以欧美为主线、以流派更替为脉络的结构，其他国家和地区的设计多以国别简史的方式分别介绍。</w:t>
      </w:r>
    </w:p>
    <w:p>
      <w:pPr>
        <w:spacing w:line="360" w:lineRule="auto" w:after="0"/>
        <w:ind w:firstLine="440"/>
      </w:pPr>
      <w:r>
        <w:rPr>
          <w:rFonts w:ascii="宋体" w:hAnsi="宋体" w:eastAsia="宋体"/>
          <w:sz w:val="22"/>
        </w:rPr>
        <w:t>后来，研究重心逐渐转向中国本土的史料和问题。赵农编著的《中国艺术设计史》2009年出版。周博先后出版《现代设计伦理思想史》（2014）、《中国现代文字设计图史》（2018）和《断裂与绵延：中国现代设计史研究》（2023），还策划了"新中国设计的诞生（1945—1959）"展览。沈榆的《中国现代设计观念史》（2017）从观念史的角度梳理中国现代设计；王琥主编的《中国当代设计全集》（2015）则是一次大规模的当代设计编纂。在香港，马端纳1988年主持"香港制造：香港外销产品设计史1900—1960"展览，并出版同名图录，开了从出口贸易角度研究中国设计的先河。在台湾地区，林品章2003年出版《台湾近代视觉传达设计的变迁：台湾本土设计史研究》，以1895至1990年为范围，梳理日据时期以来台湾的视觉传达设计，是较早系统整理台湾本土设计史的专著。</w:t>
      </w:r>
    </w:p>
    <w:p>
      <w:pPr>
        <w:spacing w:line="360" w:lineRule="auto" w:after="0"/>
        <w:ind w:firstLine="440"/>
      </w:pPr>
      <w:r>
        <w:rPr>
          <w:rFonts w:ascii="宋体" w:hAnsi="宋体" w:eastAsia="宋体"/>
          <w:sz w:val="22"/>
        </w:rPr>
        <w:t>总的来看，中国设计史学经历了从引介到自觉、从通史框架到专题研究的转变。研究者对中国设计史写作的难处也看得很清楚：设计处在艺术与工业、创意与商业、制造与消费的交叉地带，边界和概念一直在变。也有学者明确提出，设计史应该从一般的描述走向阐释，真正做到史论结合。</w:t>
      </w:r>
    </w:p>
    <w:p>
      <w:pPr>
        <w:spacing w:before="160" w:after="120"/>
      </w:pPr>
      <w:r>
        <w:rPr>
          <w:rFonts w:ascii="黑体" w:hAnsi="黑体" w:eastAsia="黑体"/>
          <w:b/>
          <w:sz w:val="24"/>
        </w:rPr>
        <w:t>（六）问题的提出</w:t>
      </w:r>
    </w:p>
    <w:p>
      <w:pPr>
        <w:spacing w:line="360" w:lineRule="auto" w:after="0"/>
        <w:ind w:firstLine="440"/>
      </w:pPr>
      <w:r>
        <w:rPr>
          <w:rFonts w:ascii="宋体" w:hAnsi="宋体" w:eastAsia="宋体"/>
          <w:sz w:val="22"/>
        </w:rPr>
        <w:t>纵观国内外研究，现当代设计史的学术重心，从现代主义谱系转向社会与生产，再转向消费与日常生活，最后转向区域与全球。研究对象从大师和名作扩展到生产、消费、性别和地域，研究方法也从风格分析扩展到社会史、文化史和物质文化研究。成果固然丰硕，但仍有四个方面有待推进。</w:t>
      </w:r>
    </w:p>
    <w:p>
      <w:pPr>
        <w:spacing w:line="360" w:lineRule="auto" w:after="0"/>
        <w:ind w:firstLine="440"/>
      </w:pPr>
      <w:r>
        <w:rPr>
          <w:rFonts w:ascii="宋体" w:hAnsi="宋体" w:eastAsia="宋体"/>
          <w:sz w:val="22"/>
        </w:rPr>
        <w:t>第一，理论反思和通史写作脱节。上述方法论成果大多以论文、专题研究或方法论著作的形式发表，面向教学的通史却在很大程度上沿用以流派更替为主线的写法。描述多，阐释少，设计变化背后的技术、经济、社会和制度原因没有讲透。</w:t>
      </w:r>
    </w:p>
    <w:p>
      <w:pPr>
        <w:spacing w:line="360" w:lineRule="auto" w:after="0"/>
        <w:ind w:firstLine="440"/>
      </w:pPr>
      <w:r>
        <w:rPr>
          <w:rFonts w:ascii="宋体" w:hAnsi="宋体" w:eastAsia="宋体"/>
          <w:sz w:val="22"/>
        </w:rPr>
        <w:t>第二，叙述仍以欧美为中心。区域研究和全球设计史虽然有了进展，但从工业革命一直写到今天、真正以多中心视角组织起来的现当代设计通史仍不多见。多数通史里，非西方地区的设计仍然以后来者、接受者或模仿者的身份出现，中国设计也多处在国别补充的位置。</w:t>
      </w:r>
    </w:p>
    <w:p>
      <w:pPr>
        <w:spacing w:line="360" w:lineRule="auto" w:after="0"/>
        <w:ind w:firstLine="440"/>
      </w:pPr>
      <w:r>
        <w:rPr>
          <w:rFonts w:ascii="宋体" w:hAnsi="宋体" w:eastAsia="宋体"/>
          <w:sz w:val="22"/>
        </w:rPr>
        <w:t>第三，当代部分写得比较薄弱。许多通史把重心放在20世纪上半叶，对1970年代以后，特别是数字时代的设计着墨不多。一方面，当代史料多而易逝，评价标准也还没有稳定下来；另一方面，原来以物为中心的叙述框架，很难直接容纳界面、服务和系统这些新的设计对象。近年来，这方面的研究已经起步。埃斯基尔森的《数字设计史》从20世纪50年代的电子时代写起，梳理数字设计的来龙去脉；2026年，塔利在《设计史刊》发表《数字设计史：研究现状、定义与可能》，指出数字对象复杂而易逝，设计史家一直难以着手，并尝试改造设计史已有的生产—消费—中介分析框架，用来研究数字设计。不过，这些成果还没有进入现当代设计通史的写作。</w:t>
      </w:r>
    </w:p>
    <w:p>
      <w:pPr>
        <w:spacing w:line="360" w:lineRule="auto" w:after="0"/>
        <w:ind w:firstLine="440"/>
      </w:pPr>
      <w:r>
        <w:rPr>
          <w:rFonts w:ascii="宋体" w:hAnsi="宋体" w:eastAsia="宋体"/>
          <w:sz w:val="22"/>
        </w:rPr>
        <w:t>第四，人工智能时代的史学方法问题，在设计史领域还缺少专门的讨论。生成式人工智能为检索史料、跨语言比较和分析图像提供了新手段，也带来了内容虚构、语料偏向、图像真假难辨等新风险。历史学界已经开始正面讨论这些问题：美国历史学会发布了历史教育中使用人工智能的指导原则，德国历史研究所华盛顿分所也以人工智能为主题召开了数字人文与数字史学会议。可是，设计史主要依靠图像、物品和设计档案，面对的问题有自己的特点；在这样的条件下怎样可靠地研究和书写设计史，设计史方法论还很少专门讨论。</w:t>
      </w:r>
    </w:p>
    <w:p>
      <w:pPr>
        <w:spacing w:before="160" w:after="120"/>
      </w:pPr>
      <w:r>
        <w:rPr>
          <w:rFonts w:ascii="黑体" w:hAnsi="黑体" w:eastAsia="黑体"/>
          <w:b/>
          <w:sz w:val="28"/>
        </w:rPr>
        <w:t>四、本书的写作目的</w:t>
      </w:r>
    </w:p>
    <w:p>
      <w:pPr>
        <w:spacing w:line="360" w:lineRule="auto" w:after="0"/>
        <w:ind w:firstLine="440"/>
      </w:pPr>
      <w:r>
        <w:rPr>
          <w:rFonts w:ascii="宋体" w:hAnsi="宋体" w:eastAsia="宋体"/>
          <w:sz w:val="22"/>
        </w:rPr>
        <w:t>针对上述问题，本书力求在三个方面有所推进，并据此安排全书的体例。</w:t>
      </w:r>
    </w:p>
    <w:p>
      <w:pPr>
        <w:spacing w:before="160" w:after="120"/>
      </w:pPr>
      <w:r>
        <w:rPr>
          <w:rFonts w:ascii="黑体" w:hAnsi="黑体" w:eastAsia="黑体"/>
          <w:b/>
          <w:sz w:val="24"/>
        </w:rPr>
        <w:t>（一）史论结合</w:t>
      </w:r>
    </w:p>
    <w:p>
      <w:pPr>
        <w:spacing w:line="360" w:lineRule="auto" w:after="0"/>
        <w:ind w:firstLine="440"/>
      </w:pPr>
      <w:r>
        <w:rPr>
          <w:rFonts w:ascii="宋体" w:hAnsi="宋体" w:eastAsia="宋体"/>
          <w:sz w:val="22"/>
        </w:rPr>
        <w:t>本书所说的史论结合，首先是以史带论。每一时期的设计现象，都放回当时的生产方式、市场结构、国家制度和思想背景中考察，回答"为什么会这样"，而不只是"是什么样"。比如，工艺美术运动不只是复兴中世纪趣味，也是对工业产品审美危机和劳动异化的回应；流线型也不只是一种造型语言，同时是大萧条时期美国商业竞争的产物。</w:t>
      </w:r>
    </w:p>
    <w:p>
      <w:pPr>
        <w:spacing w:line="360" w:lineRule="auto" w:after="0"/>
        <w:ind w:firstLine="440"/>
      </w:pPr>
      <w:r>
        <w:rPr>
          <w:rFonts w:ascii="宋体" w:hAnsi="宋体" w:eastAsia="宋体"/>
          <w:sz w:val="22"/>
        </w:rPr>
        <w:t>其次是以论释史。本书借助设计理论和相关学科的概念，比如劳动分工、大生产、消费社会、国家现代化和全球价值链，解释设计变化背后的结构性原因。这并不是把理论硬套在历史上；设计实践本来就和理论思考相互交织，乌尔姆设计学院把社会学、符号学和系统论纳入设计教育，就是一个例子。</w:t>
      </w:r>
    </w:p>
    <w:p>
      <w:pPr>
        <w:spacing w:line="360" w:lineRule="auto" w:after="0"/>
        <w:ind w:firstLine="440"/>
      </w:pPr>
      <w:r>
        <w:rPr>
          <w:rFonts w:ascii="宋体" w:hAnsi="宋体" w:eastAsia="宋体"/>
          <w:sz w:val="22"/>
        </w:rPr>
        <w:t>最后是史论并行。叙述设计历史的同时，本书也梳理设计思想的演变：从19世纪的设计改革思想，到功能主义和国际主义，再到后现代主义、设计伦理和可持续理念。每个阶段都既讲"发生了什么"，也讲"当时的人怎样理解设计"，以及"今天应该怎样理解那段历史"。</w:t>
      </w:r>
    </w:p>
    <w:p>
      <w:pPr>
        <w:spacing w:before="160" w:after="120"/>
      </w:pPr>
      <w:r>
        <w:rPr>
          <w:rFonts w:ascii="黑体" w:hAnsi="黑体" w:eastAsia="黑体"/>
          <w:b/>
          <w:sz w:val="24"/>
        </w:rPr>
        <w:t>（二）全球化的史观</w:t>
      </w:r>
    </w:p>
    <w:p>
      <w:pPr>
        <w:spacing w:line="360" w:lineRule="auto" w:after="0"/>
        <w:ind w:firstLine="440"/>
      </w:pPr>
      <w:r>
        <w:rPr>
          <w:rFonts w:ascii="宋体" w:hAnsi="宋体" w:eastAsia="宋体"/>
          <w:sz w:val="22"/>
        </w:rPr>
        <w:t>本书吸收区域研究和全球设计史的成果，尝试建立一种去殖民化、去欧美中心的全球史观。</w:t>
      </w:r>
    </w:p>
    <w:p>
      <w:pPr>
        <w:spacing w:line="360" w:lineRule="auto" w:after="0"/>
        <w:ind w:firstLine="440"/>
      </w:pPr>
      <w:r>
        <w:rPr>
          <w:rFonts w:ascii="宋体" w:hAnsi="宋体" w:eastAsia="宋体"/>
          <w:sz w:val="22"/>
        </w:rPr>
        <w:t>一方面，本书把欧洲、北美、苏联与东欧、日本、中国、印度、拉美等地区的设计放在同一个时间框架里对照叙述，而不是按"先发"和"后发"排成一条队。各地进入现代设计的时间、方式和主导力量各不相同：有的靠市场推动，有的由国家主导，有的则是在殖民体系和国际援助中被卷进来的。本书正视这些差异，不拿欧美的标准去衡量其他地区的"不足"。</w:t>
      </w:r>
    </w:p>
    <w:p>
      <w:pPr>
        <w:spacing w:line="360" w:lineRule="auto" w:after="0"/>
        <w:ind w:firstLine="440"/>
      </w:pPr>
      <w:r>
        <w:rPr>
          <w:rFonts w:ascii="宋体" w:hAnsi="宋体" w:eastAsia="宋体"/>
          <w:sz w:val="22"/>
        </w:rPr>
        <w:t>另一方面，本书关注设计在各地之间流动时的权力关系。设计的传播从来不是单向的"影响"，而是交换、改造、抵抗和协商交织在一起；博览会、出口贸易、技术转移、国际援助和全球生产链上的分工，都在本书考察之列。在这个框架里，中国设计不是附录式的补充，而是现当代设计史的有机组成部分：民国时期的图案实践，新中国的工艺美术体系和国家主导的工业设计，改革开放以后在全球价值链中的转型，都放在和同期其他地区的比较中讨论。</w:t>
      </w:r>
    </w:p>
    <w:p>
      <w:pPr>
        <w:spacing w:line="360" w:lineRule="auto" w:after="0"/>
        <w:ind w:firstLine="440"/>
      </w:pPr>
      <w:r>
        <w:rPr>
          <w:rFonts w:ascii="宋体" w:hAnsi="宋体" w:eastAsia="宋体"/>
          <w:sz w:val="22"/>
        </w:rPr>
        <w:t>需要说明的是，本书并不认为自己已经摆脱了欧美学术的概念体系。"设计""现代""工业化"这些基本概念本来就出自西方，完全"去中心"既不现实，也未必可取。本书的做法是让这些概念接受各地经验的检验，在比较中修正它们，而不是用一个新的中心取代原来的中心。</w:t>
      </w:r>
    </w:p>
    <w:p>
      <w:pPr>
        <w:spacing w:before="160" w:after="120"/>
      </w:pPr>
      <w:r>
        <w:rPr>
          <w:rFonts w:ascii="黑体" w:hAnsi="黑体" w:eastAsia="黑体"/>
          <w:b/>
          <w:sz w:val="24"/>
        </w:rPr>
        <w:t>（三）面向当代：AIGC时代的史料与方法</w:t>
      </w:r>
    </w:p>
    <w:p>
      <w:pPr>
        <w:spacing w:line="360" w:lineRule="auto" w:after="0"/>
        <w:ind w:firstLine="440"/>
      </w:pPr>
      <w:r>
        <w:rPr>
          <w:rFonts w:ascii="宋体" w:hAnsi="宋体" w:eastAsia="宋体"/>
          <w:sz w:val="22"/>
        </w:rPr>
        <w:t>写当代设计史，有前面各个时期没有的难处。离今天越近，史料往往越多，也越容易消失：网页会被删除，软件会停止更新，数字图像转来转去就丢了出处。而且，研究者本身就身处当代设计之中，很难和研究对象拉开足够的距离。现有通史的当代部分写得比较薄弱，这是一个重要原因。生成式人工智能出现以后，问题更加复杂：它为处理海量的当代史料提供了新手段，也让史料的真伪更难判断。所以，本书把当代设计史的写作和AIGC时代的史学方法放在一起讨论。</w:t>
      </w:r>
    </w:p>
    <w:p>
      <w:pPr>
        <w:spacing w:line="360" w:lineRule="auto" w:after="0"/>
        <w:ind w:firstLine="440"/>
      </w:pPr>
      <w:r>
        <w:rPr>
          <w:rFonts w:ascii="宋体" w:hAnsi="宋体" w:eastAsia="宋体"/>
          <w:sz w:val="22"/>
        </w:rPr>
        <w:t>先说机遇。数字化和文字识别技术，让分散各处的商品目录、专利文件、展览图录、广告和行业期刊都可以检索；机器翻译降低了跨语言研究的门槛，大量非英语的设计文献因此可以进入研究视野；多模态分析可以在大量图像中比对形式特征，追踪风格的传播。写当代设计史，建立全球史观，正需要这些条件。</w:t>
      </w:r>
    </w:p>
    <w:p>
      <w:pPr>
        <w:spacing w:line="360" w:lineRule="auto" w:after="0"/>
        <w:ind w:firstLine="440"/>
      </w:pPr>
      <w:r>
        <w:rPr>
          <w:rFonts w:ascii="宋体" w:hAnsi="宋体" w:eastAsia="宋体"/>
          <w:sz w:val="22"/>
        </w:rPr>
        <w:t>再说风险。第一，生成式人工智能可能编造出处、人物和事件，而设计史涉及大量年份、人名、作品和机构沿革，特别容易出这类错。第二，大语言模型主要用英语文本训练，往往带着西方中心的视角；如果不加辨析地使用，就可能在技术层面重新强化本书想要打破的知识结构。第三，生成图像可以逼真地模仿任何时代的海报、产品和建筑，一旦在网上流传，就可能混进设计史的图像档案。当代设计史恰恰最依赖网络和数字史料，受到的冲击也最直接。</w:t>
      </w:r>
    </w:p>
    <w:p>
      <w:pPr>
        <w:spacing w:line="360" w:lineRule="auto" w:after="0"/>
        <w:ind w:firstLine="440"/>
      </w:pPr>
      <w:r>
        <w:rPr>
          <w:rFonts w:ascii="宋体" w:hAnsi="宋体" w:eastAsia="宋体"/>
          <w:sz w:val="22"/>
        </w:rPr>
        <w:t>基于这些认识，本书遵循以下原则：数字工具可以用来检索、整理、翻译和比对，但凡写进正文的事实，都要回到一手史料或可靠的学术文献中核实；处理非西方史料，以原文文献和当地的研究成果为准；书中使用的图像，尽量查明来源、年代和收藏信息；历史解释、价值判断和理论建构，始终由研究者自己承担。至于人工智能时代应该怎样写设计史，本书并不认为已经有了答案，而是把它作为一个开放的史学问题提出来，希望引起更多讨论。</w:t>
      </w:r>
    </w:p>
    <w:p>
      <w:pPr>
        <w:spacing w:before="160" w:after="120"/>
      </w:pPr>
      <w:r>
        <w:rPr>
          <w:rFonts w:ascii="黑体" w:hAnsi="黑体" w:eastAsia="黑体"/>
          <w:b/>
          <w:sz w:val="24"/>
        </w:rPr>
        <w:t>（四）读者与体例</w:t>
      </w:r>
    </w:p>
    <w:p>
      <w:pPr>
        <w:spacing w:line="360" w:lineRule="auto" w:after="0"/>
        <w:ind w:firstLine="440"/>
      </w:pPr>
      <w:r>
        <w:rPr>
          <w:rFonts w:ascii="宋体" w:hAnsi="宋体" w:eastAsia="宋体"/>
          <w:sz w:val="22"/>
        </w:rPr>
        <w:t>本书主要面向设计类专业的本科生和设计学研究生，力求兼顾教材和学术专著的要求。因此，叙述上力求脉络清楚、概念明确，论证上力求有据可查，并尽量呈现学界的不同观点。</w:t>
      </w:r>
    </w:p>
    <w:p>
      <w:pPr>
        <w:spacing w:line="360" w:lineRule="auto" w:after="0"/>
        <w:ind w:firstLine="440"/>
      </w:pPr>
      <w:r>
        <w:rPr>
          <w:rFonts w:ascii="宋体" w:hAnsi="宋体" w:eastAsia="宋体"/>
          <w:sz w:val="22"/>
        </w:rPr>
        <w:t>全书以时间为主线，按社会经济结构的变化划分阶段，在各个阶段之内讨论设计运动、作品和人物。为了方便教学和查阅，正文每章在各节之后单设两个小节。一是中国小节，和同一时期其他地区的内容前后衔接，以保持比较的视角；导论则把中国放在各个阶段之中对照叙述，以呈现全书的整体框架。二是观念小节，梳理这一时期的设计思想和设计概念，落实前面所说的“史论并行”。</w:t>
      </w:r>
    </w:p>
    <w:p>
      <w:pPr>
        <w:spacing w:line="360" w:lineRule="auto" w:after="0"/>
        <w:ind w:firstLine="440"/>
      </w:pPr>
      <w:r>
        <w:rPr>
          <w:rFonts w:ascii="宋体" w:hAnsi="宋体" w:eastAsia="宋体"/>
          <w:sz w:val="22"/>
        </w:rPr>
        <w:t>当然，任何通史都免不了有所取舍。所谓"全球"，只能是在语言能力、史料条件和篇幅限制之下有选择的全球；所谓"当代"，也只能是作者此刻所见的当代。书中疏漏和偏颇之处在所难免，恳请读者和方家指正。</w:t>
      </w:r>
    </w:p>
    <w:p>
      <w:r>
        <w:br w:type="page"/>
      </w:r>
    </w:p>
    <w:p>
      <w:pPr>
        <w:spacing w:before="280" w:after="120"/>
      </w:pPr>
      <w:r>
        <w:rPr>
          <w:rFonts w:ascii="黑体" w:hAnsi="黑体" w:eastAsia="黑体"/>
          <w:b/>
          <w:sz w:val="32"/>
        </w:rPr>
        <w:t>第二部分　导论内容框架</w:t>
      </w:r>
    </w:p>
    <w:tbl>
      <w:tblPr>
        <w:tblStyle w:val="TableGrid"/>
        <w:tblW w:type="auto" w:w="0"/>
        <w:tblLook w:firstColumn="1" w:firstRow="1" w:lastColumn="0" w:lastRow="0" w:noHBand="0" w:noVBand="1" w:val="04A0"/>
      </w:tblPr>
      <w:tblGrid>
        <w:gridCol w:w="2183"/>
        <w:gridCol w:w="2183"/>
        <w:gridCol w:w="2183"/>
        <w:gridCol w:w="2183"/>
      </w:tblGrid>
      <w:tr>
        <w:tc>
          <w:tcPr>
            <w:tcW w:type="dxa" w:w="1814"/>
          </w:tcPr>
          <w:p>
            <w:r/>
            <w:r>
              <w:rPr>
                <w:rFonts w:ascii="黑体" w:hAnsi="黑体" w:eastAsia="黑体"/>
                <w:b/>
                <w:sz w:val="19"/>
              </w:rPr>
              <w:t>部分</w:t>
            </w:r>
          </w:p>
        </w:tc>
        <w:tc>
          <w:tcPr>
            <w:tcW w:type="dxa" w:w="1814"/>
          </w:tcPr>
          <w:p>
            <w:r/>
            <w:r>
              <w:rPr>
                <w:rFonts w:ascii="黑体" w:hAnsi="黑体" w:eastAsia="黑体"/>
                <w:b/>
                <w:sz w:val="19"/>
              </w:rPr>
              <w:t>小节</w:t>
            </w:r>
          </w:p>
        </w:tc>
        <w:tc>
          <w:tcPr>
            <w:tcW w:type="dxa" w:w="3855"/>
          </w:tcPr>
          <w:p>
            <w:r/>
            <w:r>
              <w:rPr>
                <w:rFonts w:ascii="黑体" w:hAnsi="黑体" w:eastAsia="黑体"/>
                <w:b/>
                <w:sz w:val="19"/>
              </w:rPr>
              <w:t>主要内容</w:t>
            </w:r>
          </w:p>
        </w:tc>
        <w:tc>
          <w:tcPr>
            <w:tcW w:type="dxa" w:w="1247"/>
          </w:tcPr>
          <w:p>
            <w:r>
              <w:t>第四稿字数</w:t>
            </w:r>
          </w:p>
        </w:tc>
      </w:tr>
      <w:tr>
        <w:tc>
          <w:tcPr>
            <w:tcW w:type="dxa" w:w="1814"/>
          </w:tcPr>
          <w:p>
            <w:r/>
            <w:r>
              <w:rPr>
                <w:rFonts w:ascii="宋体" w:hAnsi="宋体" w:eastAsia="宋体"/>
                <w:b w:val="0"/>
                <w:sz w:val="19"/>
              </w:rPr>
              <w:t>开篇</w:t>
            </w:r>
          </w:p>
        </w:tc>
        <w:tc>
          <w:tcPr>
            <w:tcW w:type="dxa" w:w="1814"/>
          </w:tcPr>
          <w:p>
            <w:r/>
            <w:r>
              <w:rPr>
                <w:rFonts w:ascii="宋体" w:hAnsi="宋体" w:eastAsia="宋体"/>
                <w:b w:val="0"/>
                <w:sz w:val="19"/>
              </w:rPr>
              <w:t>—</w:t>
            </w:r>
          </w:p>
        </w:tc>
        <w:tc>
          <w:tcPr>
            <w:tcW w:type="dxa" w:w="3855"/>
          </w:tcPr>
          <w:p>
            <w:r/>
            <w:r>
              <w:rPr>
                <w:rFonts w:ascii="宋体" w:hAnsi="宋体" w:eastAsia="宋体"/>
                <w:b w:val="0"/>
                <w:sz w:val="19"/>
              </w:rPr>
              <w:t>现代社会是被设计的社会；设计并非古已有之；交代导论四个部分</w:t>
            </w:r>
          </w:p>
        </w:tc>
        <w:tc>
          <w:tcPr>
            <w:tcW w:type="dxa" w:w="1247"/>
          </w:tcPr>
          <w:p>
            <w:r>
              <w:t>365字</w:t>
            </w:r>
          </w:p>
        </w:tc>
      </w:tr>
      <w:tr>
        <w:tc>
          <w:tcPr>
            <w:tcW w:type="dxa" w:w="1814"/>
          </w:tcPr>
          <w:p>
            <w:r/>
            <w:r>
              <w:rPr>
                <w:rFonts w:ascii="宋体" w:hAnsi="宋体" w:eastAsia="宋体"/>
                <w:b w:val="0"/>
                <w:sz w:val="19"/>
              </w:rPr>
              <w:t>一、现代设计、现代主义设计与当代设计</w:t>
            </w:r>
          </w:p>
        </w:tc>
        <w:tc>
          <w:tcPr>
            <w:tcW w:type="dxa" w:w="1814"/>
          </w:tcPr>
          <w:p>
            <w:r/>
            <w:r>
              <w:rPr>
                <w:rFonts w:ascii="宋体" w:hAnsi="宋体" w:eastAsia="宋体"/>
                <w:b w:val="0"/>
                <w:sz w:val="19"/>
              </w:rPr>
              <w:t>（一）至（四）</w:t>
            </w:r>
          </w:p>
        </w:tc>
        <w:tc>
          <w:tcPr>
            <w:tcW w:type="dxa" w:w="3855"/>
          </w:tcPr>
          <w:p>
            <w:r>
              <w:t>现代设计作为历史概念；现代主义是其中一场运动、一股思潮；当代设计的分界与特征，本书以1945年为时间参照、以1960—1970年代为观念转折；三者不是依次更替的阶段；本书范围</w:t>
            </w:r>
          </w:p>
        </w:tc>
        <w:tc>
          <w:tcPr>
            <w:tcW w:type="dxa" w:w="1247"/>
          </w:tcPr>
          <w:p>
            <w:r>
              <w:t>2158字</w:t>
            </w:r>
          </w:p>
        </w:tc>
      </w:tr>
      <w:tr>
        <w:tc>
          <w:tcPr>
            <w:tcW w:type="dxa" w:w="1814"/>
          </w:tcPr>
          <w:p>
            <w:r/>
            <w:r>
              <w:rPr>
                <w:rFonts w:ascii="宋体" w:hAnsi="宋体" w:eastAsia="宋体"/>
                <w:b w:val="0"/>
                <w:sz w:val="19"/>
              </w:rPr>
              <w:t>二、现当代设计的发展脉络</w:t>
            </w:r>
          </w:p>
        </w:tc>
        <w:tc>
          <w:tcPr>
            <w:tcW w:type="dxa" w:w="1814"/>
          </w:tcPr>
          <w:p>
            <w:r/>
            <w:r>
              <w:rPr>
                <w:rFonts w:ascii="宋体" w:hAnsi="宋体" w:eastAsia="宋体"/>
                <w:b w:val="0"/>
                <w:sz w:val="19"/>
              </w:rPr>
              <w:t>分期说明及四个阶段</w:t>
            </w:r>
          </w:p>
        </w:tc>
        <w:tc>
          <w:tcPr>
            <w:tcW w:type="dxa" w:w="3855"/>
          </w:tcPr>
          <w:p>
            <w:r>
              <w:t>以社会经济结构为纲，以运动、作品、人物为目；每阶段展开3个实例（两个全球性实例加一个中国或非西方实例），可另作简要提及；第二阶段末交代战争动员</w:t>
            </w:r>
          </w:p>
        </w:tc>
        <w:tc>
          <w:tcPr>
            <w:tcW w:type="dxa" w:w="1247"/>
          </w:tcPr>
          <w:p>
            <w:r>
              <w:t>3938字</w:t>
            </w:r>
          </w:p>
        </w:tc>
      </w:tr>
      <w:tr>
        <w:tc>
          <w:tcPr>
            <w:tcW w:type="dxa" w:w="1814"/>
          </w:tcPr>
          <w:p>
            <w:r/>
            <w:r>
              <w:rPr>
                <w:rFonts w:ascii="宋体" w:hAnsi="宋体" w:eastAsia="宋体"/>
                <w:b w:val="0"/>
                <w:sz w:val="19"/>
              </w:rPr>
              <w:t>三、学术史回顾与问题的提出</w:t>
            </w:r>
          </w:p>
        </w:tc>
        <w:tc>
          <w:tcPr>
            <w:tcW w:type="dxa" w:w="1814"/>
          </w:tcPr>
          <w:p>
            <w:r/>
            <w:r>
              <w:rPr>
                <w:rFonts w:ascii="宋体" w:hAnsi="宋体" w:eastAsia="宋体"/>
                <w:b w:val="0"/>
                <w:sz w:val="19"/>
              </w:rPr>
              <w:t>（一）至（四）</w:t>
            </w:r>
          </w:p>
        </w:tc>
        <w:tc>
          <w:tcPr>
            <w:tcW w:type="dxa" w:w="3855"/>
          </w:tcPr>
          <w:p>
            <w:r/>
            <w:r>
              <w:rPr>
                <w:rFonts w:ascii="宋体" w:hAnsi="宋体" w:eastAsia="宋体"/>
                <w:b w:val="0"/>
                <w:sz w:val="19"/>
              </w:rPr>
              <w:t>现代主义谱系；社会与生产；消费、性别与日常生活；区域、全球与去殖民化；各阶段并置非西方研究</w:t>
            </w:r>
          </w:p>
        </w:tc>
        <w:tc>
          <w:tcPr>
            <w:tcW w:type="dxa" w:w="1247"/>
          </w:tcPr>
          <w:p>
            <w:r>
              <w:t>2226字</w:t>
            </w:r>
          </w:p>
        </w:tc>
      </w:tr>
      <w:tr>
        <w:tc>
          <w:tcPr>
            <w:tcW w:type="dxa" w:w="1814"/>
          </w:tcPr>
          <w:p>
            <w:r/>
            <w:r>
              <w:rPr>
                <w:rFonts w:ascii="宋体" w:hAnsi="宋体" w:eastAsia="宋体"/>
                <w:b w:val="0"/>
                <w:sz w:val="19"/>
              </w:rPr>
            </w:r>
          </w:p>
        </w:tc>
        <w:tc>
          <w:tcPr>
            <w:tcW w:type="dxa" w:w="1814"/>
          </w:tcPr>
          <w:p>
            <w:r/>
            <w:r>
              <w:rPr>
                <w:rFonts w:ascii="宋体" w:hAnsi="宋体" w:eastAsia="宋体"/>
                <w:b w:val="0"/>
                <w:sz w:val="19"/>
              </w:rPr>
              <w:t>（五）中国设计史学的演进</w:t>
            </w:r>
          </w:p>
        </w:tc>
        <w:tc>
          <w:tcPr>
            <w:tcW w:type="dxa" w:w="3855"/>
          </w:tcPr>
          <w:p>
            <w:r>
              <w:t>从引介通史到本土专题研究，含香港、台湾地区研究</w:t>
            </w:r>
          </w:p>
        </w:tc>
        <w:tc>
          <w:tcPr>
            <w:tcW w:type="dxa" w:w="1247"/>
          </w:tcPr>
          <w:p>
            <w:r>
              <w:t>779字</w:t>
            </w:r>
          </w:p>
        </w:tc>
      </w:tr>
      <w:tr>
        <w:tc>
          <w:tcPr>
            <w:tcW w:type="dxa" w:w="1814"/>
          </w:tcPr>
          <w:p>
            <w:r/>
            <w:r>
              <w:rPr>
                <w:rFonts w:ascii="宋体" w:hAnsi="宋体" w:eastAsia="宋体"/>
                <w:b w:val="0"/>
                <w:sz w:val="19"/>
              </w:rPr>
            </w:r>
          </w:p>
        </w:tc>
        <w:tc>
          <w:tcPr>
            <w:tcW w:type="dxa" w:w="1814"/>
          </w:tcPr>
          <w:p>
            <w:r/>
            <w:r>
              <w:rPr>
                <w:rFonts w:ascii="宋体" w:hAnsi="宋体" w:eastAsia="宋体"/>
                <w:b w:val="0"/>
                <w:sz w:val="19"/>
              </w:rPr>
              <w:t>（六）问题的提出</w:t>
            </w:r>
          </w:p>
        </w:tc>
        <w:tc>
          <w:tcPr>
            <w:tcW w:type="dxa" w:w="3855"/>
          </w:tcPr>
          <w:p>
            <w:r>
              <w:t>理论与通史脱节；欧美中心；当代部分薄弱（数字设计史研究已起步，尚未进入通史）；AI时代的史学方法（设计史领域缺少专门讨论）</w:t>
            </w:r>
          </w:p>
        </w:tc>
        <w:tc>
          <w:tcPr>
            <w:tcW w:type="dxa" w:w="1247"/>
          </w:tcPr>
          <w:p>
            <w:r>
              <w:t>888字</w:t>
            </w:r>
          </w:p>
        </w:tc>
      </w:tr>
      <w:tr>
        <w:tc>
          <w:tcPr>
            <w:tcW w:type="dxa" w:w="1814"/>
          </w:tcPr>
          <w:p>
            <w:r/>
            <w:r>
              <w:rPr>
                <w:rFonts w:ascii="宋体" w:hAnsi="宋体" w:eastAsia="宋体"/>
                <w:b w:val="0"/>
                <w:sz w:val="19"/>
              </w:rPr>
              <w:t>四、本书的写作目的</w:t>
            </w:r>
          </w:p>
        </w:tc>
        <w:tc>
          <w:tcPr>
            <w:tcW w:type="dxa" w:w="1814"/>
          </w:tcPr>
          <w:p>
            <w:r/>
            <w:r>
              <w:rPr>
                <w:rFonts w:ascii="宋体" w:hAnsi="宋体" w:eastAsia="宋体"/>
                <w:b w:val="0"/>
                <w:sz w:val="19"/>
              </w:rPr>
              <w:t>（一）至（四）</w:t>
            </w:r>
          </w:p>
        </w:tc>
        <w:tc>
          <w:tcPr>
            <w:tcW w:type="dxa" w:w="3855"/>
          </w:tcPr>
          <w:p>
            <w:r/>
            <w:r>
              <w:rPr>
                <w:rFonts w:ascii="宋体" w:hAnsi="宋体" w:eastAsia="宋体"/>
                <w:b w:val="0"/>
                <w:sz w:val="19"/>
              </w:rPr>
              <w:t>史论结合；全球化的史观；面向当代：AIGC时代的史料与方法；读者与体例</w:t>
            </w:r>
          </w:p>
        </w:tc>
        <w:tc>
          <w:tcPr>
            <w:tcW w:type="dxa" w:w="1247"/>
          </w:tcPr>
          <w:p>
            <w:r>
              <w:t>2101字</w:t>
            </w:r>
          </w:p>
        </w:tc>
      </w:tr>
    </w:tbl>
    <w:p/>
    <w:p>
      <w:pPr>
        <w:spacing w:before="160" w:after="120"/>
      </w:pPr>
      <w:r>
        <w:rPr>
          <w:rFonts w:ascii="黑体" w:hAnsi="黑体" w:eastAsia="黑体"/>
          <w:b/>
          <w:sz w:val="24"/>
        </w:rPr>
        <w:t>各阶段代表实例</w:t>
      </w:r>
    </w:p>
    <w:tbl>
      <w:tblPr>
        <w:tblStyle w:val="TableGrid"/>
        <w:tblW w:type="auto" w:w="0"/>
        <w:tblLook w:firstColumn="1" w:firstRow="1" w:lastColumn="0" w:lastRow="0" w:noHBand="0" w:noVBand="1" w:val="04A0"/>
      </w:tblPr>
      <w:tblGrid>
        <w:gridCol w:w="4366"/>
        <w:gridCol w:w="4366"/>
      </w:tblGrid>
      <w:tr>
        <w:tc>
          <w:tcPr>
            <w:tcW w:type="dxa" w:w="2835"/>
          </w:tcPr>
          <w:p>
            <w:r/>
            <w:r>
              <w:rPr>
                <w:rFonts w:ascii="黑体" w:hAnsi="黑体" w:eastAsia="黑体"/>
                <w:b/>
                <w:sz w:val="19"/>
              </w:rPr>
              <w:t>阶段</w:t>
            </w:r>
          </w:p>
        </w:tc>
        <w:tc>
          <w:tcPr>
            <w:tcW w:type="dxa" w:w="5896"/>
          </w:tcPr>
          <w:p>
            <w:r/>
            <w:r>
              <w:rPr>
                <w:rFonts w:ascii="黑体" w:hAnsi="黑体" w:eastAsia="黑体"/>
                <w:b/>
                <w:sz w:val="19"/>
              </w:rPr>
              <w:t>实例</w:t>
            </w:r>
          </w:p>
        </w:tc>
      </w:tr>
      <w:tr>
        <w:tc>
          <w:tcPr>
            <w:tcW w:type="dxa" w:w="2835"/>
          </w:tcPr>
          <w:p>
            <w:r/>
            <w:r>
              <w:rPr>
                <w:rFonts w:ascii="宋体" w:hAnsi="宋体" w:eastAsia="宋体"/>
                <w:b w:val="0"/>
                <w:sz w:val="19"/>
              </w:rPr>
              <w:t>工业化与设计改革（约1760—1900）</w:t>
            </w:r>
          </w:p>
        </w:tc>
        <w:tc>
          <w:tcPr>
            <w:tcW w:type="dxa" w:w="5896"/>
          </w:tcPr>
          <w:p>
            <w:r/>
            <w:r>
              <w:rPr>
                <w:rFonts w:ascii="宋体" w:hAnsi="宋体" w:eastAsia="宋体"/>
                <w:b w:val="0"/>
                <w:sz w:val="19"/>
              </w:rPr>
              <w:t>1851年伦敦世博会；托耐特14号椅（1859）；纳富介次郎与"图案"（1873年前后）</w:t>
            </w:r>
          </w:p>
        </w:tc>
      </w:tr>
      <w:tr>
        <w:tc>
          <w:tcPr>
            <w:tcW w:type="dxa" w:w="2835"/>
          </w:tcPr>
          <w:p>
            <w:r/>
            <w:r>
              <w:rPr>
                <w:rFonts w:ascii="宋体" w:hAnsi="宋体" w:eastAsia="宋体"/>
                <w:b w:val="0"/>
                <w:sz w:val="19"/>
              </w:rPr>
              <w:t>大生产与现代主义的形成（1900—1945）</w:t>
            </w:r>
          </w:p>
        </w:tc>
        <w:tc>
          <w:tcPr>
            <w:tcW w:type="dxa" w:w="5896"/>
          </w:tcPr>
          <w:p>
            <w:r>
              <w:t>福特流水线（1913）；包豪斯（1919—1933）；陈之佛尚美图案馆（1923）；贝伦斯与AEG一句带过；阶段末概述战争动员，不具名</w:t>
            </w:r>
          </w:p>
        </w:tc>
      </w:tr>
      <w:tr>
        <w:tc>
          <w:tcPr>
            <w:tcW w:type="dxa" w:w="2835"/>
          </w:tcPr>
          <w:p>
            <w:r/>
            <w:r>
              <w:rPr>
                <w:rFonts w:ascii="宋体" w:hAnsi="宋体" w:eastAsia="宋体"/>
                <w:b w:val="0"/>
                <w:sz w:val="19"/>
              </w:rPr>
              <w:t>战后重建、冷战与国际主义（1945—1970年代）</w:t>
            </w:r>
          </w:p>
        </w:tc>
        <w:tc>
          <w:tcPr>
            <w:tcW w:type="dxa" w:w="5896"/>
          </w:tcPr>
          <w:p>
            <w:r>
              <w:t>乌尔姆设计学院与博朗SK4（1956）；伊姆斯《印度报告》（1958）与印度国立设计学院（1961）；红旗CA770（1966）；简要提及：巴西高等工业设计学院（1963）、邦西佩与智利工业设计组（1970年代初）、全苏技术美学研究所（1962）</w:t>
            </w:r>
          </w:p>
        </w:tc>
      </w:tr>
      <w:tr>
        <w:tc>
          <w:tcPr>
            <w:tcW w:type="dxa" w:w="2835"/>
          </w:tcPr>
          <w:p>
            <w:r/>
            <w:r>
              <w:rPr>
                <w:rFonts w:ascii="宋体" w:hAnsi="宋体" w:eastAsia="宋体"/>
                <w:b w:val="0"/>
                <w:sz w:val="19"/>
              </w:rPr>
              <w:t>后工业、全球化与多元设计（1970年代至今）</w:t>
            </w:r>
          </w:p>
        </w:tc>
        <w:tc>
          <w:tcPr>
            <w:tcW w:type="dxa" w:w="5896"/>
          </w:tcPr>
          <w:p>
            <w:r/>
            <w:r>
              <w:rPr>
                <w:rFonts w:ascii="宋体" w:hAnsi="宋体" w:eastAsia="宋体"/>
                <w:b w:val="0"/>
                <w:sz w:val="19"/>
              </w:rPr>
              <w:t>索尼随身听（1979）；孟菲斯（1980—1981）；"在加州设计、在中国组装"</w:t>
            </w:r>
          </w:p>
        </w:tc>
      </w:tr>
    </w:tbl>
    <w:p/>
    <w:p>
      <w:pPr>
        <w:spacing w:before="160" w:after="120"/>
      </w:pPr>
      <w:r>
        <w:rPr>
          <w:rFonts w:ascii="黑体" w:hAnsi="黑体" w:eastAsia="黑体"/>
          <w:b/>
          <w:sz w:val="24"/>
        </w:rPr>
        <w:t>问题与目的的对应</w:t>
      </w:r>
    </w:p>
    <w:tbl>
      <w:tblPr>
        <w:tblStyle w:val="TableGrid"/>
        <w:tblW w:type="auto" w:w="0"/>
        <w:tblLook w:firstColumn="1" w:firstRow="1" w:lastColumn="0" w:lastRow="0" w:noHBand="0" w:noVBand="1" w:val="04A0"/>
      </w:tblPr>
      <w:tblGrid>
        <w:gridCol w:w="4366"/>
        <w:gridCol w:w="4366"/>
      </w:tblGrid>
      <w:tr>
        <w:tc>
          <w:tcPr>
            <w:tcW w:type="dxa" w:w="4365"/>
          </w:tcPr>
          <w:p>
            <w:r/>
            <w:r>
              <w:rPr>
                <w:rFonts w:ascii="黑体" w:hAnsi="黑体" w:eastAsia="黑体"/>
                <w:b/>
                <w:sz w:val="19"/>
              </w:rPr>
              <w:t>第三部分提出的问题</w:t>
            </w:r>
          </w:p>
        </w:tc>
        <w:tc>
          <w:tcPr>
            <w:tcW w:type="dxa" w:w="4365"/>
          </w:tcPr>
          <w:p>
            <w:r/>
            <w:r>
              <w:rPr>
                <w:rFonts w:ascii="黑体" w:hAnsi="黑体" w:eastAsia="黑体"/>
                <w:b/>
                <w:sz w:val="19"/>
              </w:rPr>
              <w:t>第四部分的回应</w:t>
            </w:r>
          </w:p>
        </w:tc>
      </w:tr>
      <w:tr>
        <w:tc>
          <w:tcPr>
            <w:tcW w:type="dxa" w:w="4365"/>
          </w:tcPr>
          <w:p>
            <w:r/>
            <w:r>
              <w:rPr>
                <w:rFonts w:ascii="宋体" w:hAnsi="宋体" w:eastAsia="宋体"/>
                <w:b w:val="0"/>
                <w:sz w:val="19"/>
              </w:rPr>
              <w:t>理论反思与通史写作脱节</w:t>
            </w:r>
          </w:p>
        </w:tc>
        <w:tc>
          <w:tcPr>
            <w:tcW w:type="dxa" w:w="4365"/>
          </w:tcPr>
          <w:p>
            <w:r/>
            <w:r>
              <w:rPr>
                <w:rFonts w:ascii="宋体" w:hAnsi="宋体" w:eastAsia="宋体"/>
                <w:b w:val="0"/>
                <w:sz w:val="19"/>
              </w:rPr>
              <w:t>史论结合</w:t>
            </w:r>
          </w:p>
        </w:tc>
      </w:tr>
      <w:tr>
        <w:tc>
          <w:tcPr>
            <w:tcW w:type="dxa" w:w="4365"/>
          </w:tcPr>
          <w:p>
            <w:r/>
            <w:r>
              <w:rPr>
                <w:rFonts w:ascii="宋体" w:hAnsi="宋体" w:eastAsia="宋体"/>
                <w:b w:val="0"/>
                <w:sz w:val="19"/>
              </w:rPr>
              <w:t>叙述以欧美为中心</w:t>
            </w:r>
          </w:p>
        </w:tc>
        <w:tc>
          <w:tcPr>
            <w:tcW w:type="dxa" w:w="4365"/>
          </w:tcPr>
          <w:p>
            <w:r/>
            <w:r>
              <w:rPr>
                <w:rFonts w:ascii="宋体" w:hAnsi="宋体" w:eastAsia="宋体"/>
                <w:b w:val="0"/>
                <w:sz w:val="19"/>
              </w:rPr>
              <w:t>全球化的史观</w:t>
            </w:r>
          </w:p>
        </w:tc>
      </w:tr>
      <w:tr>
        <w:tc>
          <w:tcPr>
            <w:tcW w:type="dxa" w:w="4365"/>
          </w:tcPr>
          <w:p>
            <w:r/>
            <w:r>
              <w:rPr>
                <w:rFonts w:ascii="宋体" w:hAnsi="宋体" w:eastAsia="宋体"/>
                <w:b w:val="0"/>
                <w:sz w:val="19"/>
              </w:rPr>
              <w:t>当代部分薄弱；AI时代的史学方法问题</w:t>
            </w:r>
          </w:p>
        </w:tc>
        <w:tc>
          <w:tcPr>
            <w:tcW w:type="dxa" w:w="4365"/>
          </w:tcPr>
          <w:p>
            <w:r/>
            <w:r>
              <w:rPr>
                <w:rFonts w:ascii="宋体" w:hAnsi="宋体" w:eastAsia="宋体"/>
                <w:b w:val="0"/>
                <w:sz w:val="19"/>
              </w:rPr>
              <w:t>面向当代：AIGC时代的史料与方法</w:t>
            </w:r>
          </w:p>
        </w:tc>
      </w:tr>
    </w:tbl>
    <w:p/>
    <w:p>
      <w:pPr>
        <w:spacing w:line="360" w:lineRule="auto" w:after="0"/>
      </w:pPr>
      <w:r>
        <w:rPr>
          <w:rFonts w:ascii="宋体" w:hAnsi="宋体" w:eastAsia="宋体"/>
          <w:sz w:val="22"/>
        </w:rPr>
        <w:t>首尾照应：第一阶段讲构思与制作在工厂内部分离，第四阶段讲这种分离扩展到全球。</w:t>
      </w:r>
    </w:p>
    <w:p>
      <w:pPr>
        <w:spacing w:before="280" w:after="120"/>
      </w:pPr>
      <w:r>
        <w:rPr>
          <w:rFonts w:ascii="黑体" w:hAnsi="黑体" w:eastAsia="黑体"/>
          <w:b/>
          <w:sz w:val="32"/>
        </w:rPr>
        <w:t>第三部分　各轮修订规则</w:t>
      </w:r>
    </w:p>
    <w:p>
      <w:pPr>
        <w:spacing w:before="160" w:after="120"/>
      </w:pPr>
      <w:r>
        <w:rPr>
          <w:rFonts w:ascii="黑体" w:hAnsi="黑体" w:eastAsia="黑体"/>
          <w:b/>
          <w:sz w:val="24"/>
        </w:rPr>
        <w:t>定位与范围</w:t>
      </w:r>
    </w:p>
    <w:p>
      <w:pPr>
        <w:pStyle w:val="ListBullet"/>
        <w:spacing w:line="336" w:lineRule="auto"/>
      </w:pPr>
      <w:r>
        <w:rPr>
          <w:rFonts w:ascii="宋体" w:hAnsi="宋体" w:eastAsia="宋体"/>
          <w:sz w:val="22"/>
        </w:rPr>
        <w:t>只出示导论，不附其他章节的内容。</w:t>
      </w:r>
    </w:p>
    <w:p>
      <w:pPr>
        <w:pStyle w:val="ListBullet"/>
        <w:spacing w:line="336" w:lineRule="auto"/>
      </w:pPr>
      <w:r>
        <w:rPr>
          <w:rFonts w:ascii="宋体" w:hAnsi="宋体" w:eastAsia="宋体"/>
          <w:sz w:val="22"/>
        </w:rPr>
        <w:t>导论写全书的总体内容，不写成"推翻原有结构"的檄文，批判语气要克制。</w:t>
      </w:r>
    </w:p>
    <w:p>
      <w:pPr>
        <w:pStyle w:val="ListBullet"/>
        <w:spacing w:line="336" w:lineRule="auto"/>
      </w:pPr>
      <w:r>
        <w:rPr>
          <w:rFonts w:ascii="宋体" w:hAnsi="宋体" w:eastAsia="宋体"/>
          <w:sz w:val="22"/>
        </w:rPr>
        <w:t>三个特点：史论结合；全球史观（去殖民化、去欧美中心）；AIGC只讨论其对设计史研究方法的影响，不作为研究对象。</w:t>
      </w:r>
    </w:p>
    <w:p>
      <w:pPr>
        <w:pStyle w:val="ListBullet"/>
        <w:spacing w:line="336" w:lineRule="auto"/>
      </w:pPr>
      <w:r>
        <w:rPr>
          <w:rFonts w:ascii="宋体" w:hAnsi="宋体" w:eastAsia="宋体"/>
          <w:sz w:val="22"/>
        </w:rPr>
        <w:t>写作顺序：先界定概念，再简述发展，然后指出问题，最后说明写作目的。</w:t>
      </w:r>
    </w:p>
    <w:p>
      <w:pPr>
        <w:pStyle w:val="ListBullet"/>
        <w:spacing w:line="336" w:lineRule="auto"/>
      </w:pPr>
      <w:r>
        <w:rPr>
          <w:rFonts w:ascii="宋体" w:hAnsi="宋体" w:eastAsia="宋体"/>
          <w:sz w:val="22"/>
        </w:rPr>
        <w:t>篇幅：全书35万字，导论约1.5万字，约占全书4%；以内容完整为准，不为达到字数扩写，各部分篇幅不设预算。</w:t>
      </w:r>
    </w:p>
    <w:p>
      <w:pPr>
        <w:spacing w:before="160" w:after="120"/>
      </w:pPr>
      <w:r>
        <w:rPr>
          <w:rFonts w:ascii="黑体" w:hAnsi="黑体" w:eastAsia="黑体"/>
          <w:b/>
          <w:sz w:val="24"/>
        </w:rPr>
        <w:t>概念界定</w:t>
      </w:r>
    </w:p>
    <w:p>
      <w:pPr>
        <w:pStyle w:val="ListBullet"/>
        <w:spacing w:line="336" w:lineRule="auto"/>
      </w:pPr>
      <w:r>
        <w:rPr>
          <w:rFonts w:ascii="宋体" w:hAnsi="宋体" w:eastAsia="宋体"/>
          <w:sz w:val="22"/>
        </w:rPr>
        <w:t>采取历史化的本体，承认不同时期、不同社会对"设计"有不同理解；"构思与制作的分离"只是重要线索，不是统一标准。</w:t>
      </w:r>
    </w:p>
    <w:p>
      <w:pPr>
        <w:pStyle w:val="ListBullet"/>
        <w:spacing w:line="336" w:lineRule="auto"/>
      </w:pPr>
      <w:r>
        <w:rPr>
          <w:rFonts w:ascii="宋体" w:hAnsi="宋体" w:eastAsia="宋体"/>
          <w:sz w:val="22"/>
        </w:rPr>
        <w:t>不把问题复杂化，不引入自造的术语，表述要让学生读得懂。</w:t>
      </w:r>
    </w:p>
    <w:p>
      <w:pPr>
        <w:pStyle w:val="ListBullet"/>
        <w:spacing w:line="336" w:lineRule="auto"/>
      </w:pPr>
      <w:r>
        <w:rPr>
          <w:rFonts w:ascii="宋体" w:hAnsi="宋体" w:eastAsia="宋体"/>
          <w:sz w:val="22"/>
        </w:rPr>
        <w:t>直接从现代设计写起，不讲词源，不从古代造物讲起。</w:t>
      </w:r>
    </w:p>
    <w:p>
      <w:pPr>
        <w:pStyle w:val="ListBullet"/>
        <w:spacing w:line="336" w:lineRule="auto"/>
      </w:pPr>
      <w:r>
        <w:rPr>
          <w:rFonts w:ascii="宋体" w:hAnsi="宋体" w:eastAsia="宋体"/>
          <w:sz w:val="22"/>
        </w:rPr>
        <w:t>集中讲清现代设计、现代主义设计、当代设计三者的关系，不放大量实例。</w:t>
      </w:r>
    </w:p>
    <w:p>
      <w:pPr>
        <w:pStyle w:val="ListBullet"/>
        <w:spacing w:line="336" w:lineRule="auto"/>
      </w:pPr>
      <w:r>
        <w:rPr>
          <w:rFonts w:ascii="宋体" w:hAnsi="宋体" w:eastAsia="宋体"/>
          <w:sz w:val="22"/>
        </w:rPr>
        <w:t>明确本书的当代分界：时间上以1945年为参照，观念上以1960—1970年代为转折。</w:t>
      </w:r>
    </w:p>
    <w:p>
      <w:pPr>
        <w:spacing w:before="160" w:after="120"/>
      </w:pPr>
      <w:r>
        <w:rPr>
          <w:rFonts w:ascii="黑体" w:hAnsi="黑体" w:eastAsia="黑体"/>
          <w:b/>
          <w:sz w:val="24"/>
        </w:rPr>
        <w:t>发展脉络</w:t>
      </w:r>
    </w:p>
    <w:p>
      <w:pPr>
        <w:pStyle w:val="ListBullet"/>
        <w:spacing w:line="336" w:lineRule="auto"/>
      </w:pPr>
      <w:r>
        <w:rPr>
          <w:rFonts w:ascii="宋体" w:hAnsi="宋体" w:eastAsia="宋体"/>
          <w:sz w:val="22"/>
        </w:rPr>
        <w:t>以社会经济结构为纲，以运动、作品、人物为目；每个阶段先讲结构变化，再讲设计的回应。</w:t>
      </w:r>
    </w:p>
    <w:p>
      <w:pPr>
        <w:pStyle w:val="ListBullet"/>
        <w:spacing w:line="336" w:lineRule="auto"/>
      </w:pPr>
      <w:r>
        <w:rPr>
          <w:rFonts w:ascii="宋体" w:hAnsi="宋体" w:eastAsia="宋体"/>
          <w:sz w:val="22"/>
        </w:rPr>
        <w:t>导论中把中国并置于各阶段之中；正文单设中国小节，并在体例说明中解释原因。</w:t>
      </w:r>
    </w:p>
    <w:p>
      <w:pPr>
        <w:pStyle w:val="ListBullet"/>
        <w:spacing w:line="336" w:lineRule="auto"/>
      </w:pPr>
      <w:r>
        <w:rPr>
          <w:rFonts w:ascii="宋体" w:hAnsi="宋体" w:eastAsia="宋体"/>
          <w:sz w:val="22"/>
        </w:rPr>
        <w:t>每个阶段展开3个实例：两个全球性实例加一个中国或非西方实例；为呈现全球史观，可另作简要提及，但不展开叙述。</w:t>
      </w:r>
    </w:p>
    <w:p>
      <w:pPr>
        <w:pStyle w:val="ListBullet"/>
        <w:spacing w:line="336" w:lineRule="auto"/>
      </w:pPr>
      <w:r>
        <w:rPr>
          <w:rFonts w:ascii="宋体" w:hAnsi="宋体" w:eastAsia="宋体"/>
          <w:sz w:val="22"/>
        </w:rPr>
        <w:t>实例经全网检索，按四条标准筛选：能说明结构变化；学界和博物馆公认；影响有据可查；同一阶段内能构成对照。非设计作品也可入选。</w:t>
      </w:r>
    </w:p>
    <w:p>
      <w:pPr>
        <w:pStyle w:val="ListBullet"/>
        <w:spacing w:line="336" w:lineRule="auto"/>
      </w:pPr>
      <w:r>
        <w:rPr>
          <w:rFonts w:ascii="宋体" w:hAnsi="宋体" w:eastAsia="宋体"/>
          <w:sz w:val="22"/>
        </w:rPr>
        <w:t>所有实例逐一核实；来源有分歧时采用稳妥写法（如1851年世博会写"5月至10月"，随身听写"超过2亿台"，孟菲斯首展写"1981年9月"）。</w:t>
      </w:r>
    </w:p>
    <w:p>
      <w:pPr>
        <w:spacing w:before="160" w:after="120"/>
      </w:pPr>
      <w:r>
        <w:rPr>
          <w:rFonts w:ascii="黑体" w:hAnsi="黑体" w:eastAsia="黑体"/>
          <w:b/>
          <w:sz w:val="24"/>
        </w:rPr>
        <w:t>学术史</w:t>
      </w:r>
    </w:p>
    <w:p>
      <w:pPr>
        <w:pStyle w:val="ListBullet"/>
        <w:spacing w:line="336" w:lineRule="auto"/>
      </w:pPr>
      <w:r>
        <w:rPr>
          <w:rFonts w:ascii="宋体" w:hAnsi="宋体" w:eastAsia="宋体"/>
          <w:sz w:val="22"/>
        </w:rPr>
        <w:t>按研究观念的演变组织，代表著作穿插其中，不写成书目罗列。</w:t>
      </w:r>
    </w:p>
    <w:p>
      <w:pPr>
        <w:pStyle w:val="ListBullet"/>
        <w:spacing w:line="336" w:lineRule="auto"/>
      </w:pPr>
      <w:r>
        <w:rPr>
          <w:rFonts w:ascii="宋体" w:hAnsi="宋体" w:eastAsia="宋体"/>
          <w:sz w:val="22"/>
        </w:rPr>
        <w:t>学术史本身不能欧美中心，各阶段并置日本、苏联、拉美、印度等地的研究。</w:t>
      </w:r>
    </w:p>
    <w:p>
      <w:pPr>
        <w:pStyle w:val="ListBullet"/>
        <w:spacing w:line="336" w:lineRule="auto"/>
      </w:pPr>
      <w:r>
        <w:rPr>
          <w:rFonts w:ascii="宋体" w:hAnsi="宋体" w:eastAsia="宋体"/>
          <w:sz w:val="22"/>
        </w:rPr>
        <w:t>中国设计史学单设一段，放在四个阶段之后，开头说明单设理由；包括香港、台湾地区的研究。</w:t>
      </w:r>
    </w:p>
    <w:p>
      <w:pPr>
        <w:pStyle w:val="ListBullet"/>
        <w:spacing w:line="336" w:lineRule="auto"/>
      </w:pPr>
      <w:r>
        <w:rPr>
          <w:rFonts w:ascii="宋体" w:hAnsi="宋体" w:eastAsia="宋体"/>
          <w:sz w:val="22"/>
        </w:rPr>
        <w:t>不设"建议精读"。</w:t>
      </w:r>
    </w:p>
    <w:p>
      <w:pPr>
        <w:pStyle w:val="ListBullet"/>
        <w:spacing w:line="336" w:lineRule="auto"/>
      </w:pPr>
      <w:r>
        <w:rPr>
          <w:rFonts w:ascii="宋体" w:hAnsi="宋体" w:eastAsia="宋体"/>
          <w:sz w:val="22"/>
        </w:rPr>
        <w:t>提出的问题须在学术史或可靠文献中有依据；判断留有余地，不作绝对化表述。</w:t>
      </w:r>
    </w:p>
    <w:p>
      <w:pPr>
        <w:spacing w:before="160" w:after="120"/>
      </w:pPr>
      <w:r>
        <w:rPr>
          <w:rFonts w:ascii="黑体" w:hAnsi="黑体" w:eastAsia="黑体"/>
          <w:b/>
          <w:sz w:val="24"/>
        </w:rPr>
        <w:t>写作目的</w:t>
      </w:r>
    </w:p>
    <w:p>
      <w:pPr>
        <w:pStyle w:val="ListBullet"/>
        <w:spacing w:line="336" w:lineRule="auto"/>
      </w:pPr>
      <w:r>
        <w:rPr>
          <w:rFonts w:ascii="宋体" w:hAnsi="宋体" w:eastAsia="宋体"/>
          <w:sz w:val="22"/>
        </w:rPr>
        <w:t>问题与目的一一对应；"当代部分薄弱"并入第三个特点，标题为"面向当代：AIGC时代的史料与方法"。</w:t>
      </w:r>
    </w:p>
    <w:p>
      <w:pPr>
        <w:pStyle w:val="ListBullet"/>
        <w:spacing w:line="336" w:lineRule="auto"/>
      </w:pPr>
      <w:r>
        <w:rPr>
          <w:rFonts w:ascii="宋体" w:hAnsi="宋体" w:eastAsia="宋体"/>
          <w:sz w:val="22"/>
        </w:rPr>
        <w:t>体例说明须解释导论并置、正文单列中国小节的原因，并说明各章观念小节与“史论并行”的对应。</w:t>
      </w:r>
    </w:p>
    <w:p>
      <w:pPr>
        <w:spacing w:before="160" w:after="120"/>
      </w:pPr>
      <w:r>
        <w:rPr>
          <w:rFonts w:ascii="黑体" w:hAnsi="黑体" w:eastAsia="黑体"/>
          <w:b/>
          <w:sz w:val="24"/>
        </w:rPr>
        <w:t>语言</w:t>
      </w:r>
    </w:p>
    <w:p>
      <w:pPr>
        <w:pStyle w:val="ListBullet"/>
        <w:spacing w:line="336" w:lineRule="auto"/>
      </w:pPr>
      <w:r>
        <w:rPr>
          <w:rFonts w:ascii="宋体" w:hAnsi="宋体" w:eastAsia="宋体"/>
          <w:sz w:val="22"/>
        </w:rPr>
        <w:t>学术性与可读性兼顾；句与句、段与段之间有起承转合；连接词只用在因果、转折、递进处；该解释的解释，不过度。</w:t>
      </w:r>
    </w:p>
    <w:p>
      <w:pPr>
        <w:pStyle w:val="ListBullet"/>
        <w:spacing w:line="336" w:lineRule="auto"/>
      </w:pPr>
      <w:r>
        <w:rPr>
          <w:rFonts w:ascii="宋体" w:hAnsi="宋体" w:eastAsia="宋体"/>
          <w:sz w:val="22"/>
        </w:rPr>
        <w:t>去翻译腔：少用被动句和长定语；不用抽象名词作主语再接"使""把"；少用"进行""作出""加以"；少用介词框架；不硬译"议程""尺度"等术语。</w:t>
      </w:r>
    </w:p>
    <w:p>
      <w:pPr>
        <w:pStyle w:val="ListBullet"/>
        <w:spacing w:line="336" w:lineRule="auto"/>
      </w:pPr>
      <w:r>
        <w:rPr>
          <w:rFonts w:ascii="宋体" w:hAnsi="宋体" w:eastAsia="宋体"/>
          <w:sz w:val="22"/>
        </w:rPr>
        <w:t>书稿正文不加引用标记，定稿时按出版社体例补脚注。</w:t>
      </w:r>
    </w:p>
    <w:p>
      <w:pPr>
        <w:spacing w:before="280" w:after="120"/>
      </w:pPr>
      <w:r>
        <w:rPr>
          <w:rFonts w:ascii="黑体" w:hAnsi="黑体" w:eastAsia="黑体"/>
          <w:b/>
          <w:sz w:val="32"/>
        </w:rPr>
        <w:t>第四部分　导论写作流程规则</w:t>
      </w:r>
    </w:p>
    <w:p>
      <w:pPr>
        <w:pStyle w:val="ListNumber"/>
        <w:spacing w:line="336" w:lineRule="auto"/>
      </w:pPr>
      <w:r>
        <w:rPr>
          <w:rFonts w:ascii="宋体" w:hAnsi="宋体" w:eastAsia="宋体"/>
          <w:sz w:val="22"/>
        </w:rPr>
        <w:t>明确定位：确定全书篇幅、读者和文体，算出导论总字数。</w:t>
      </w:r>
    </w:p>
    <w:p>
      <w:pPr>
        <w:pStyle w:val="ListNumber"/>
        <w:spacing w:line="336" w:lineRule="auto"/>
      </w:pPr>
      <w:r>
        <w:rPr>
          <w:rFonts w:ascii="宋体" w:hAnsi="宋体" w:eastAsia="宋体"/>
          <w:sz w:val="22"/>
        </w:rPr>
        <w:t>确定结构顺序：定下各部分先后，估计各部分大致篇幅，只作参考。</w:t>
      </w:r>
    </w:p>
    <w:p>
      <w:pPr>
        <w:pStyle w:val="ListNumber"/>
        <w:spacing w:line="336" w:lineRule="auto"/>
      </w:pPr>
      <w:r>
        <w:rPr>
          <w:rFonts w:ascii="宋体" w:hAnsi="宋体" w:eastAsia="宋体"/>
          <w:sz w:val="22"/>
        </w:rPr>
        <w:t>确定理论立场：先定本体立场、分期依据，以及非西方内容在导论和正文中的位置，前后各部分须与之一致。</w:t>
      </w:r>
    </w:p>
    <w:p>
      <w:pPr>
        <w:pStyle w:val="ListNumber"/>
        <w:spacing w:line="336" w:lineRule="auto"/>
      </w:pPr>
      <w:r>
        <w:rPr>
          <w:rFonts w:ascii="宋体" w:hAnsi="宋体" w:eastAsia="宋体"/>
          <w:sz w:val="22"/>
        </w:rPr>
        <w:t>逐节讨论写法：每节先确定写什么、不写什么，以及与前后节如何衔接，再动笔。</w:t>
      </w:r>
    </w:p>
    <w:p>
      <w:pPr>
        <w:pStyle w:val="ListNumber"/>
        <w:spacing w:line="336" w:lineRule="auto"/>
      </w:pPr>
      <w:r>
        <w:rPr>
          <w:rFonts w:ascii="宋体" w:hAnsi="宋体" w:eastAsia="宋体"/>
          <w:sz w:val="22"/>
        </w:rPr>
        <w:t>检索与核实：实例和学术史著作均经检索，按标准筛选，逐一核实年份、数据和学界评价，统一有分歧的说法。</w:t>
      </w:r>
    </w:p>
    <w:p>
      <w:pPr>
        <w:pStyle w:val="ListNumber"/>
        <w:spacing w:line="336" w:lineRule="auto"/>
      </w:pPr>
      <w:r>
        <w:rPr>
          <w:rFonts w:ascii="宋体" w:hAnsi="宋体" w:eastAsia="宋体"/>
          <w:sz w:val="22"/>
        </w:rPr>
        <w:t>检查对应关系：问题与目的是否一一对应，首尾是否照应，导论分期是否与正文目录一致。</w:t>
      </w:r>
    </w:p>
    <w:p>
      <w:pPr>
        <w:pStyle w:val="ListNumber"/>
        <w:spacing w:line="336" w:lineRule="auto"/>
      </w:pPr>
      <w:r>
        <w:rPr>
          <w:rFonts w:ascii="宋体" w:hAnsi="宋体" w:eastAsia="宋体"/>
          <w:sz w:val="22"/>
        </w:rPr>
        <w:t>成稿：以内容完整为准，保持叙述连贯。</w:t>
      </w:r>
    </w:p>
    <w:p>
      <w:pPr>
        <w:pStyle w:val="ListNumber"/>
        <w:spacing w:line="336" w:lineRule="auto"/>
      </w:pPr>
      <w:r>
        <w:rPr>
          <w:rFonts w:ascii="宋体" w:hAnsi="宋体" w:eastAsia="宋体"/>
          <w:sz w:val="22"/>
        </w:rPr>
        <w:t>语言修订：逐句检查翻译腔和冗余表达，按中文习惯改写。</w:t>
      </w:r>
    </w:p>
    <w:p>
      <w:pPr>
        <w:pStyle w:val="ListNumber"/>
        <w:spacing w:line="336" w:lineRule="auto"/>
      </w:pPr>
      <w:r>
        <w:rPr>
          <w:rFonts w:ascii="宋体" w:hAnsi="宋体" w:eastAsia="宋体"/>
          <w:sz w:val="22"/>
        </w:rPr>
        <w:t>审查：对照全部规则通读，检查自相矛盾、篇幅超限或事实不准之处。</w:t>
      </w:r>
    </w:p>
    <w:p>
      <w:pPr>
        <w:pStyle w:val="ListNumber"/>
        <w:spacing w:line="336" w:lineRule="auto"/>
      </w:pPr>
      <w:r>
        <w:rPr>
          <w:rFonts w:ascii="宋体" w:hAnsi="宋体" w:eastAsia="宋体"/>
          <w:sz w:val="22"/>
        </w:rPr>
        <w:t>定稿准备：补脚注，对照原书核对版权页信息，与正文目录做最后对照。</w:t>
      </w:r>
    </w:p>
    <w:p>
      <w:pPr>
        <w:spacing w:before="280" w:after="120"/>
      </w:pPr>
      <w:r>
        <w:rPr>
          <w:rFonts w:ascii="黑体" w:hAnsi="黑体" w:eastAsia="黑体"/>
          <w:b/>
          <w:sz w:val="32"/>
        </w:rPr>
        <w:t>第五部分　篇幅核对与待办事项</w:t>
      </w:r>
    </w:p>
    <w:p>
      <w:pPr>
        <w:spacing w:line="360" w:lineRule="auto" w:after="0"/>
      </w:pPr>
      <w:r>
        <w:rPr>
          <w:rFonts w:ascii="宋体" w:hAnsi="宋体" w:eastAsia="宋体"/>
          <w:sz w:val="22"/>
        </w:rPr>
        <w:t>按实际统计（不含空格与换行，含标题），第四稿正文约12455字，目标约1.5万字。各部分字数与第三稿对比如下（第三稿按同一方法重新统计）：</w:t>
      </w:r>
    </w:p>
    <w:tbl>
      <w:tblPr>
        <w:tblStyle w:val="TableGrid"/>
        <w:tblW w:type="auto" w:w="0"/>
        <w:tblLook w:firstColumn="1" w:firstRow="1" w:lastColumn="0" w:lastRow="0" w:noHBand="0" w:noVBand="1" w:val="04A0"/>
      </w:tblPr>
      <w:tblGrid>
        <w:gridCol w:w="2183"/>
        <w:gridCol w:w="2183"/>
        <w:gridCol w:w="2183"/>
        <w:gridCol w:w="2183"/>
      </w:tblGrid>
      <w:tr>
        <w:tc>
          <w:tcPr>
            <w:tcW w:type="dxa" w:w="2551"/>
          </w:tcPr>
          <w:p>
            <w:r>
              <w:t>部分</w:t>
            </w:r>
          </w:p>
        </w:tc>
        <w:tc>
          <w:tcPr>
            <w:tcW w:type="dxa" w:w="1701"/>
          </w:tcPr>
          <w:p>
            <w:r>
              <w:t>第三稿</w:t>
            </w:r>
          </w:p>
        </w:tc>
        <w:tc>
          <w:tcPr>
            <w:tcW w:type="dxa" w:w="1984"/>
          </w:tcPr>
          <w:p>
            <w:r>
              <w:t>第四稿</w:t>
            </w:r>
          </w:p>
        </w:tc>
        <w:tc>
          <w:tcPr>
            <w:tcW w:type="dxa" w:w="2494"/>
          </w:tcPr>
          <w:p>
            <w:r>
              <w:t>变化</w:t>
            </w:r>
          </w:p>
        </w:tc>
      </w:tr>
      <w:tr>
        <w:tc>
          <w:tcPr>
            <w:tcW w:type="dxa" w:w="2551"/>
          </w:tcPr>
          <w:p>
            <w:r>
              <w:t>开篇</w:t>
            </w:r>
          </w:p>
        </w:tc>
        <w:tc>
          <w:tcPr>
            <w:tcW w:type="dxa" w:w="1701"/>
          </w:tcPr>
          <w:p>
            <w:r>
              <w:t>365</w:t>
            </w:r>
          </w:p>
        </w:tc>
        <w:tc>
          <w:tcPr>
            <w:tcW w:type="dxa" w:w="1984"/>
          </w:tcPr>
          <w:p>
            <w:r>
              <w:t>365</w:t>
            </w:r>
          </w:p>
        </w:tc>
        <w:tc>
          <w:tcPr>
            <w:tcW w:type="dxa" w:w="2494"/>
          </w:tcPr>
          <w:p>
            <w:r>
              <w:t>不变</w:t>
            </w:r>
          </w:p>
        </w:tc>
      </w:tr>
      <w:tr>
        <w:tc>
          <w:tcPr>
            <w:tcW w:type="dxa" w:w="2551"/>
          </w:tcPr>
          <w:p>
            <w:r>
              <w:t>一、概念界定</w:t>
            </w:r>
          </w:p>
        </w:tc>
        <w:tc>
          <w:tcPr>
            <w:tcW w:type="dxa" w:w="1701"/>
          </w:tcPr>
          <w:p>
            <w:r>
              <w:t>1985</w:t>
            </w:r>
          </w:p>
        </w:tc>
        <w:tc>
          <w:tcPr>
            <w:tcW w:type="dxa" w:w="1984"/>
          </w:tcPr>
          <w:p>
            <w:r>
              <w:t>2158</w:t>
            </w:r>
          </w:p>
        </w:tc>
        <w:tc>
          <w:tcPr>
            <w:tcW w:type="dxa" w:w="2494"/>
          </w:tcPr>
          <w:p>
            <w:r>
              <w:t>+173</w:t>
            </w:r>
          </w:p>
        </w:tc>
      </w:tr>
      <w:tr>
        <w:tc>
          <w:tcPr>
            <w:tcW w:type="dxa" w:w="2551"/>
          </w:tcPr>
          <w:p>
            <w:r>
              <w:t>二、发展脉络</w:t>
            </w:r>
          </w:p>
        </w:tc>
        <w:tc>
          <w:tcPr>
            <w:tcW w:type="dxa" w:w="1701"/>
          </w:tcPr>
          <w:p>
            <w:r>
              <w:t>3514</w:t>
            </w:r>
          </w:p>
        </w:tc>
        <w:tc>
          <w:tcPr>
            <w:tcW w:type="dxa" w:w="1984"/>
          </w:tcPr>
          <w:p>
            <w:r>
              <w:t>3938</w:t>
            </w:r>
          </w:p>
        </w:tc>
        <w:tc>
          <w:tcPr>
            <w:tcW w:type="dxa" w:w="2494"/>
          </w:tcPr>
          <w:p>
            <w:r>
              <w:t>+424</w:t>
            </w:r>
          </w:p>
        </w:tc>
      </w:tr>
      <w:tr>
        <w:tc>
          <w:tcPr>
            <w:tcW w:type="dxa" w:w="2551"/>
          </w:tcPr>
          <w:p>
            <w:r>
              <w:t>三、学术史与问题</w:t>
            </w:r>
          </w:p>
        </w:tc>
        <w:tc>
          <w:tcPr>
            <w:tcW w:type="dxa" w:w="1701"/>
          </w:tcPr>
          <w:p>
            <w:r>
              <w:t>3509</w:t>
            </w:r>
          </w:p>
        </w:tc>
        <w:tc>
          <w:tcPr>
            <w:tcW w:type="dxa" w:w="1984"/>
          </w:tcPr>
          <w:p>
            <w:r>
              <w:t>3893</w:t>
            </w:r>
          </w:p>
        </w:tc>
        <w:tc>
          <w:tcPr>
            <w:tcW w:type="dxa" w:w="2494"/>
          </w:tcPr>
          <w:p>
            <w:r>
              <w:t>+384</w:t>
            </w:r>
          </w:p>
        </w:tc>
      </w:tr>
      <w:tr>
        <w:tc>
          <w:tcPr>
            <w:tcW w:type="dxa" w:w="2551"/>
          </w:tcPr>
          <w:p>
            <w:r>
              <w:t>四、写作目的</w:t>
            </w:r>
          </w:p>
        </w:tc>
        <w:tc>
          <w:tcPr>
            <w:tcW w:type="dxa" w:w="1701"/>
          </w:tcPr>
          <w:p>
            <w:r>
              <w:t>2059</w:t>
            </w:r>
          </w:p>
        </w:tc>
        <w:tc>
          <w:tcPr>
            <w:tcW w:type="dxa" w:w="1984"/>
          </w:tcPr>
          <w:p>
            <w:r>
              <w:t>2101</w:t>
            </w:r>
          </w:p>
        </w:tc>
        <w:tc>
          <w:tcPr>
            <w:tcW w:type="dxa" w:w="2494"/>
          </w:tcPr>
          <w:p>
            <w:r>
              <w:t>+42</w:t>
            </w:r>
          </w:p>
        </w:tc>
      </w:tr>
      <w:tr>
        <w:tc>
          <w:tcPr>
            <w:tcW w:type="dxa" w:w="2551"/>
          </w:tcPr>
          <w:p>
            <w:r>
              <w:t>合计</w:t>
            </w:r>
          </w:p>
        </w:tc>
        <w:tc>
          <w:tcPr>
            <w:tcW w:type="dxa" w:w="1701"/>
          </w:tcPr>
          <w:p>
            <w:r>
              <w:t>11432</w:t>
            </w:r>
          </w:p>
        </w:tc>
        <w:tc>
          <w:tcPr>
            <w:tcW w:type="dxa" w:w="1984"/>
          </w:tcPr>
          <w:p>
            <w:r>
              <w:t>12455</w:t>
            </w:r>
          </w:p>
        </w:tc>
        <w:tc>
          <w:tcPr>
            <w:tcW w:type="dxa" w:w="2494"/>
          </w:tcPr>
          <w:p>
            <w:r>
              <w:t>+1023</w:t>
            </w:r>
          </w:p>
        </w:tc>
      </w:tr>
    </w:tbl>
    <w:p/>
    <w:p>
      <w:pPr>
        <w:spacing w:before="160" w:after="120"/>
      </w:pPr>
      <w:r>
        <w:rPr>
          <w:rFonts w:ascii="黑体" w:hAnsi="黑体" w:eastAsia="黑体"/>
          <w:b/>
          <w:sz w:val="24"/>
        </w:rPr>
        <w:t>待办事项</w:t>
      </w:r>
    </w:p>
    <w:p>
      <w:pPr>
        <w:pStyle w:val="ListBullet"/>
        <w:spacing w:line="336" w:lineRule="auto"/>
      </w:pPr>
      <w:r>
        <w:rPr>
          <w:rFonts w:ascii="宋体" w:hAnsi="宋体" w:eastAsia="宋体"/>
          <w:sz w:val="22"/>
        </w:rPr>
        <w:t>核实埃斯基尔森《数字设计史》的出版年份与出版社。</w:t>
      </w:r>
    </w:p>
    <w:p>
      <w:pPr>
        <w:pStyle w:val="ListBullet"/>
        <w:spacing w:line="336" w:lineRule="auto"/>
      </w:pPr>
      <w:r>
        <w:rPr>
          <w:rFonts w:ascii="宋体" w:hAnsi="宋体" w:eastAsia="宋体"/>
          <w:sz w:val="22"/>
        </w:rPr>
        <w:t>核实美国历史学会人工智能指导原则的发布年份。</w:t>
      </w:r>
    </w:p>
    <w:p>
      <w:pPr>
        <w:pStyle w:val="ListBullet"/>
        <w:spacing w:line="336" w:lineRule="auto"/>
      </w:pPr>
      <w:r>
        <w:rPr>
          <w:rFonts w:ascii="宋体" w:hAnsi="宋体" w:eastAsia="宋体"/>
          <w:sz w:val="22"/>
        </w:rPr>
        <w:t>核实“设计史方法论还很少专门讨论”的判断，必要时收窄表述或补入相关成果。</w:t>
      </w:r>
    </w:p>
    <w:p>
      <w:pPr>
        <w:pStyle w:val="ListBullet"/>
        <w:spacing w:line="336" w:lineRule="auto"/>
      </w:pPr>
      <w:r>
        <w:rPr>
          <w:rFonts w:ascii="宋体" w:hAnsi="宋体" w:eastAsia="宋体"/>
          <w:sz w:val="22"/>
        </w:rPr>
        <w:t>用权威来源核实1962年苏联部长会议决议与全苏技术美学研究所。</w:t>
      </w:r>
    </w:p>
    <w:p>
      <w:pPr>
        <w:pStyle w:val="ListBullet"/>
        <w:spacing w:line="336" w:lineRule="auto"/>
      </w:pPr>
      <w:r>
        <w:rPr>
          <w:rFonts w:ascii="宋体" w:hAnsi="宋体" w:eastAsia="宋体"/>
          <w:sz w:val="22"/>
        </w:rPr>
        <w:t>核实李玉龙《近代设计史》（1982）的出版信息，再决定是否写入。</w:t>
      </w:r>
    </w:p>
    <w:p>
      <w:pPr>
        <w:pStyle w:val="ListBullet"/>
        <w:spacing w:line="336" w:lineRule="auto"/>
      </w:pPr>
      <w:r>
        <w:rPr>
          <w:rFonts w:ascii="宋体" w:hAnsi="宋体" w:eastAsia="宋体"/>
          <w:sz w:val="22"/>
        </w:rPr>
        <w:t>与正文目录逐一对照，确认分期一致。</w:t>
      </w:r>
    </w:p>
    <w:p>
      <w:pPr>
        <w:pStyle w:val="ListBullet"/>
        <w:spacing w:line="336" w:lineRule="auto"/>
      </w:pPr>
      <w:r>
        <w:rPr>
          <w:rFonts w:ascii="宋体" w:hAnsi="宋体" w:eastAsia="宋体"/>
          <w:sz w:val="22"/>
        </w:rPr>
        <w:t>补脚注，并对照原书核对王受之、何人可、林品章等著作的版次与出版年份。</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