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现当代设计史_第五章写作内容框架"/>
      <w:r>
        <w:rPr>
          <w:rFonts w:eastAsia="source serif 4" w:cs="source serif 4" w:ascii="source serif 4" w:hAnsi="source serif 4"/>
          <w:b/>
          <w:color w:val="000000"/>
          <w:sz w:val="39"/>
        </w:rPr>
        <w:t xml:space="preserve">《现当代设计史》第五章写作内容框架</w:t>
      </w:r>
      <w:bookmarkEnd w:id="0"/>
    </w:p>
    <w:p>
      <w:pPr>
        <w:spacing w:line="360" w:after="210" w:lineRule="auto"/>
      </w:pPr>
      <w:r>
        <w:rPr>
          <w:rFonts w:eastAsia="source serif 4" w:cs="source serif 4" w:ascii="source serif 4" w:hAnsi="source serif 4"/>
          <w:color w:val="000000"/>
        </w:rPr>
        <w:t xml:space="preserve">章题：第五章　西欧现代设计的发展。</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依据：对话上传的修订版目录及此前章节讨论，不涉及仓库。</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体例：论点、案例内容与维度检查融合；设计师身份变化写在案例中，不单列。本文不制定详细小结、自然段、字数，也不设置“待补与待核”栏目。案例范围为写作规划，不代表每个细节均已完成原始史料核验。</w:t>
      </w:r>
    </w:p>
    <w:p>
      <w:pPr>
        <w:spacing w:line="360" w:before="315" w:after="105" w:lineRule="auto"/>
        <w:ind w:left="-30"/>
        <w:jc w:val="left"/>
      </w:pPr>
      <w:bookmarkStart w:id="1" w:name="一_全章定位"/>
      <w:r>
        <w:rPr>
          <w:rFonts w:eastAsia="source serif 4" w:cs="source serif 4" w:ascii="source serif 4" w:hAnsi="source serif 4"/>
          <w:b/>
          <w:color w:val="000000"/>
          <w:sz w:val="24"/>
        </w:rPr>
        <w:t xml:space="preserve">一、全章定位</w:t>
      </w:r>
      <w:bookmarkEnd w:id="1"/>
    </w:p>
    <w:p>
      <w:pPr>
        <w:spacing w:line="360" w:after="210" w:lineRule="auto"/>
      </w:pPr>
      <w:r>
        <w:rPr>
          <w:rFonts w:eastAsia="source serif 4" w:cs="source serif 4" w:ascii="source serif 4" w:hAnsi="source serif 4"/>
          <w:color w:val="000000"/>
        </w:rPr>
        <w:t xml:space="preserve">历史问题：现代设计在两次世界大战之间，怎样进入住宅、日用品、印刷、公共交通与企业生产，并在不同地区形成各自的实践方式。</w:t>
      </w:r>
    </w:p>
    <w:p>
      <w:pPr>
        <w:spacing w:line="360" w:after="210" w:lineRule="auto"/>
      </w:pPr>
      <w:r>
        <w:rPr>
          <w:rFonts w:eastAsia="source serif 4" w:cs="source serif 4" w:ascii="source serif 4" w:hAnsi="source serif 4"/>
          <w:color w:val="000000"/>
        </w:rPr>
        <w:t xml:space="preserve">主体范围：1910年代后期至1939年。必要时以战前案例解释形成条件，以简短过渡说明二战对实践的影响；战后制度与产品归第九章。不以1933年作为全德国设计活动的终点，但纳粹国家动员的完整叙事归第八章。</w:t>
      </w:r>
    </w:p>
    <w:p>
      <w:pPr>
        <w:spacing w:line="360" w:after="210" w:lineRule="auto"/>
      </w:pPr>
      <w:r>
        <w:rPr>
          <w:rFonts w:eastAsia="source serif 4" w:cs="source serif 4" w:ascii="source serif 4" w:hAnsi="source serif 4"/>
          <w:color w:val="000000"/>
        </w:rPr>
        <w:t xml:space="preserve">结构：5.1—5.6按地区组织具体实践；5.7讨论地区之间的设计交流。第四章讲学校内的课程与实验，本章讲设计进入生产、使用与公共生活的过程。现代主义不是仅从学校向社会单向扩散，各地区的企业、市政和工艺传统同样参与形成设计。</w:t>
      </w:r>
    </w:p>
    <w:p>
      <w:pPr>
        <w:spacing w:line="360" w:after="210" w:lineRule="auto"/>
      </w:pPr>
      <w:r>
        <w:rPr>
          <w:rFonts w:eastAsia="source serif 4" w:cs="source serif 4" w:ascii="source serif 4" w:hAnsi="source serif 4"/>
          <w:color w:val="000000"/>
        </w:rPr>
        <w:t xml:space="preserve">七个维度为检查工具：作品、产品、元素、材料与技术、生产组织与设计媒介、委托与使用、观念与话语。维度不强制成为正文标题，也不规定固定篇幅。</w:t>
      </w:r>
    </w:p>
    <w:p>
      <w:pPr>
        <w:spacing w:line="360" w:before="315" w:after="105" w:lineRule="auto"/>
        <w:ind w:left="-30"/>
        <w:jc w:val="left"/>
      </w:pPr>
      <w:bookmarkStart w:id="2" w:name="二_各节写作框架"/>
      <w:r>
        <w:rPr>
          <w:rFonts w:eastAsia="source serif 4" w:cs="source serif 4" w:ascii="source serif 4" w:hAnsi="source serif 4"/>
          <w:b/>
          <w:color w:val="000000"/>
          <w:sz w:val="24"/>
        </w:rPr>
        <w:t xml:space="preserve">二、各节写作框架</w:t>
      </w:r>
      <w:bookmarkEnd w:id="2"/>
    </w:p>
    <w:p>
      <w:pPr>
        <w:spacing w:line="360" w:before="315" w:after="105" w:lineRule="auto"/>
        <w:ind w:left="-30"/>
        <w:jc w:val="left"/>
      </w:pPr>
      <w:bookmarkStart w:id="3" w:name="bm_5_1_德国现代主义设计"/>
      <w:r>
        <w:rPr>
          <w:rFonts w:eastAsia="source serif 4" w:cs="source serif 4" w:ascii="source serif 4" w:hAnsi="source serif 4"/>
          <w:b/>
          <w:color w:val="000000"/>
          <w:sz w:val="24"/>
        </w:rPr>
        <w:t xml:space="preserve">5.1 德国现代主义设计</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范围</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魏玛时期为主体，必要的前后背景简述。</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住宅建设、企业生产与印刷实践把现代设计转为日常生活中可使用、可复制的方案。</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制造联盟成立与1914年论争归3.2；包豪斯教学归第四章；国家动员归第八章。</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魏森霍夫住宅展与新法兰克福住宅计划：分析住宅空间、家具、厨房与生活组织，不以建筑师名单代替作品分析。</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法兰克福厨房为主，钢管家具为辅。厨房写工作流线、储存和市政批量安装；家具写厂商生产与采用，不重述包豪斯作坊过程。</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新字体排印的非对称、无衬线与信息层级；以奇肖尔德作品及著述说明印刷原则如何成为专业方法。住宅的白墙和平屋顶不能独自概括德国现代设计。</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厨房预制部件、钢管家具与建筑标准构件；区分工业复制的设想和实际工艺。</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法兰克福市政团队、《新法兰克福》及托内特家具目录。舒特—利霍茨基作为市政团队建筑师、奇肖尔德作为排版实践者的身份在案例中交代。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市政住宅住户、制造商与展览观众；把家务合理化的设计意图与住户的实际使用区分开。</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家务合理化论述、《新字体排印》及住宅展相关文本；与具体作品对应，不认定理性化必然等于改善生活。</w:t>
            </w:r>
          </w:p>
        </w:tc>
      </w:tr>
    </w:tbl>
    <w:p>
      <w:pPr>
        <w:spacing w:lineRule="auto"/>
      </w:pPr>
    </w:p>
    <w:p>
      <w:pPr>
        <w:spacing w:line="360" w:before="315" w:after="105" w:lineRule="auto"/>
        <w:ind w:left="-30"/>
        <w:jc w:val="left"/>
      </w:pPr>
      <w:bookmarkStart w:id="4" w:name="bm_5_2_荷兰现代主义设计"/>
      <w:r>
        <w:rPr>
          <w:rFonts w:eastAsia="source serif 4" w:cs="source serif 4" w:ascii="source serif 4" w:hAnsi="source serif 4"/>
          <w:b/>
          <w:color w:val="000000"/>
          <w:sz w:val="24"/>
        </w:rPr>
        <w:t xml:space="preserve">5.2 荷兰现代主义设计</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范围</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两战之间的家具、住宅与平面设计。</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抽象形式在家具、居住空间和商业印刷中获得具体结构，同时因委托与使用条件而改变。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风格派理论形成归3.4，本节写实施和使用。</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施罗德住宅及兹瓦特的电缆企业印刷设计，分别说明空间组织与信息组织。</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红蓝椅与希斯本灯具；前者分析构件关系，后者补充照明产品与制造商合作，避免全节只有一位设计师。</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正交、原色、非对称、字图组合；不把全部荷兰实践归为风格派。</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木料构件、灯具金属加工与机械印刷；说明抽象构成的材料条件。</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家具制作和零售网络、企业与邮政委托。里特维尔德的家具制作背景、兹瓦特的印刷工作在相应案例中写出。</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施罗德作为参与设计的住户，企业作为信息传播委托方；不将住户被动化。</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风格派相关原则仅简短回指；重点写设计者关于构件、空间与印刷组织的具体主张。</w:t>
            </w:r>
          </w:p>
        </w:tc>
      </w:tr>
    </w:tbl>
    <w:p>
      <w:pPr>
        <w:spacing w:lineRule="auto"/>
      </w:pPr>
    </w:p>
    <w:p>
      <w:pPr>
        <w:spacing w:line="360" w:before="315" w:after="105" w:lineRule="auto"/>
        <w:ind w:left="-30"/>
        <w:jc w:val="left"/>
      </w:pPr>
      <w:bookmarkStart w:id="5" w:name="bm_5_3_瑞士现代设计的早期发展"/>
      <w:r>
        <w:rPr>
          <w:rFonts w:eastAsia="source serif 4" w:cs="source serif 4" w:ascii="source serif 4" w:hAnsi="source serif 4"/>
          <w:b/>
          <w:color w:val="000000"/>
          <w:sz w:val="24"/>
        </w:rPr>
        <w:t xml:space="preserve">5.3 瑞士现代设计的早期发展</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范围</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两战之间；1945年作为与9.4的衔接界线。</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学校、印刷业与旅游传播共同形成瑞士现代平面实践的基础。</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成熟的瑞士国际主义、Helvetica与Univers归9.4。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赫伯特·马特旅游海报为主，马克斯·比尔早期平面作品为辅；讨论摄影和文字的具体布局。</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旅游印刷品与1939年国家博览会的兰迪椅；后者作为工业产品补充，不扩展成完整瑞士产品史。</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摄影蒙太奇、字号变化、无衬线与图文层次；不用战后网格体系反向套解全部作品。</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摄影制版、胶印与铝制椅构造；每项对应实物，不列技术年表。</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苏黎世工艺学校、旅游机构、国家博览会；凯勒的教学和设计工作结合实例写，不重复第四章学校结构。</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旅游机构、旅客与博览会使用者。</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内容与传达任务如何指导设计；奇肖尔德迁瑞只作传播线索，不提前写其战后论争。</w:t>
            </w:r>
          </w:p>
        </w:tc>
      </w:tr>
    </w:tbl>
    <w:p>
      <w:pPr>
        <w:spacing w:lineRule="auto"/>
      </w:pPr>
    </w:p>
    <w:p>
      <w:pPr>
        <w:spacing w:line="360" w:before="315" w:after="105" w:lineRule="auto"/>
        <w:ind w:left="-30"/>
        <w:jc w:val="left"/>
      </w:pPr>
      <w:bookmarkStart w:id="6" w:name="bm_5_4_英国现代主义设计"/>
      <w:r>
        <w:rPr>
          <w:rFonts w:eastAsia="source serif 4" w:cs="source serif 4" w:ascii="source serif 4" w:hAnsi="source serif 4"/>
          <w:b/>
          <w:color w:val="000000"/>
          <w:sz w:val="24"/>
        </w:rPr>
        <w:t xml:space="preserve">5.4 英国现代主义设计</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范围</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公共设计前史至1939年，以两战之间为重心。</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公共交通、出版和日用品生产为英国现代设计提供了不同于学院实验的实施场所。</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工艺美术运动归第二章；移民赴美后的活动归第六章；战后归9.3。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贝克地铁图与企鹅图书封面：分别分析线路图的抽象化和书籍系列的统一。</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EKCO AD-65收音机、Anglepoise台灯及伊索肯家具；各写不同的形式—功能问题，不全写成“流线型”。</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线路图的直线和角度规则、出版系列的色彩分区、人文无衬线；约翰斯顿字体作为前史衔接。</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电木机壳、弹簧平衡灯具、胶合板家具；讨论工艺如何影响形态。</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伦敦交通机构、企鹅出版、伊索肯及设计与工业协会。皮克的委托组织作用、贝克的制图背景、移民设计师与厂商合作随作品展开。</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乘客、平装书读者及家电消费者；公共易读性与商业系列化分别处理。</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里德《艺术与工业》与佩夫斯纳相关著述，作为当时解释设计实践的材料，不把其历史判断直接作为本书唯一结论。</w:t>
            </w:r>
          </w:p>
        </w:tc>
      </w:tr>
    </w:tbl>
    <w:p>
      <w:pPr>
        <w:spacing w:lineRule="auto"/>
      </w:pPr>
    </w:p>
    <w:p>
      <w:pPr>
        <w:spacing w:line="360" w:before="315" w:after="105" w:lineRule="auto"/>
        <w:ind w:left="-30"/>
        <w:jc w:val="left"/>
      </w:pPr>
      <w:bookmarkStart w:id="7" w:name="bm_5_5_法国现代主义与装饰艺术"/>
      <w:r>
        <w:rPr>
          <w:rFonts w:eastAsia="source serif 4" w:cs="source serif 4" w:ascii="source serif 4" w:hAnsi="source serif 4"/>
          <w:b/>
          <w:color w:val="000000"/>
          <w:sz w:val="24"/>
        </w:rPr>
        <w:t xml:space="preserve">5.5 法国现代主义与装饰艺术</w:t>
      </w:r>
      <w:bookmarkEnd w:id="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范围</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1925年博览会为中心，向前后实践延伸至1930年代。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装饰艺术与现代主义都回应现代生活，但在材料、形式、价格和使用者方面作出不同选择。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北美装饰艺术归6.2；概念综合归本章观念栏。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鲁尔曼展馆室内与新精神馆对照，玻璃之家作为后续空间实践；比较具体设计而非先判优劣。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鲁尔曼家具、柯布西耶—让纳雷—佩里昂家具及普鲁韦金属椅；共同设计者和制造者明确区分。</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几何装饰、材料表面、纯粹体量和结构表达；装饰艺术不能简单归为复古。</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贵重木材、饰面、钢管与折弯钢板；手工奢侈品和工业生产并存。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装饰艺术家协会、UAM、普鲁韦工作室及展览；佩里昂与普鲁韦的工作范围随家具案例交代，不归并到单一明星建筑师名下。</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富裕客户、住宅和公共机构；指出现代主义作品也未必面向大众或低价。</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《今日的装饰艺术》、UAM宣言与装饰艺术家的主张；正文解释立场，章末综合命名与争论。</w:t>
            </w:r>
          </w:p>
        </w:tc>
      </w:tr>
    </w:tbl>
    <w:p>
      <w:pPr>
        <w:spacing w:lineRule="auto"/>
      </w:pPr>
    </w:p>
    <w:p>
      <w:pPr>
        <w:spacing w:line="360" w:before="315" w:after="105" w:lineRule="auto"/>
        <w:ind w:left="-30"/>
        <w:jc w:val="left"/>
      </w:pPr>
      <w:bookmarkStart w:id="8" w:name="bm_5_6_北欧现代设计"/>
      <w:r>
        <w:rPr>
          <w:rFonts w:eastAsia="source serif 4" w:cs="source serif 4" w:ascii="source serif 4" w:hAnsi="source serif 4"/>
          <w:b/>
          <w:color w:val="000000"/>
          <w:sz w:val="24"/>
        </w:rPr>
        <w:t xml:space="preserve">5.6 北欧现代设计</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范围</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两战之间，1930年斯德哥尔摩博览会为重要节点。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现代设计在北欧通过工艺、工业、公共服务与家居需求之间的协调形成，不是简单复制德国形式。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战后“斯堪的纳维亚设计”推广及后来的家具归9.3。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斯德哥尔摩博览会与帕伊米奥疗养院；从空间、家具、环境和使用任务讨论整体设计。</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帕伊米奥椅、60号凳、克林特家具及北欧玻璃餐具；避免用一位芬兰建筑师代表全部地区。</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曲线、人体尺度、材料表面与朴素形式；不用后来的“有机现代主义”概念解释所有作品。</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弯曲桦木、胶合板、玻璃与传统木工；说明现代化不是一律抛弃手工。</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工艺协会、家具教育、工厂艺术家合作和Artek；阿尔托的团队及阿伊诺·阿尔托的参与放在具体项目中交代。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疗养院患者、家庭用户及公共机构；从作品检验设计意图，不推定所有产品普遍可负担。</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《更美的日用品》与《接受》宣言；讨论社会目标与实际制造、销售之间的张力。</w:t>
            </w:r>
          </w:p>
        </w:tc>
      </w:tr>
    </w:tbl>
    <w:p>
      <w:pPr>
        <w:spacing w:lineRule="auto"/>
      </w:pPr>
    </w:p>
    <w:p>
      <w:pPr>
        <w:spacing w:line="360" w:before="315" w:after="105" w:lineRule="auto"/>
        <w:ind w:left="-30"/>
        <w:jc w:val="left"/>
      </w:pPr>
      <w:bookmarkStart w:id="9" w:name="bm_5_7_西欧现代设计的交流"/>
      <w:r>
        <w:rPr>
          <w:rFonts w:eastAsia="source serif 4" w:cs="source serif 4" w:ascii="source serif 4" w:hAnsi="source serif 4"/>
          <w:b/>
          <w:color w:val="000000"/>
          <w:sz w:val="24"/>
        </w:rPr>
        <w:t xml:space="preserve">5.7 西欧现代设计的交流</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范围</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两战之间的跨地区展览、期刊、厂商与人员网络。</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现代设计的传播依赖可识别的交流渠道，并在传播中产生转译与选择，而非自然形成统一风格。</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不重复5.1—5.6作品分析；北美接受归第六章。</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以展览陈列、刊物图版和跨国家具目录为对象，分析作品怎样被选择、摄影和传播。</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托内特跨国钢管家具系列与奥利维蒂MP1打字机；前者说明厂商渠道，后者为意大利企业实践的补充。</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比较同一设计方法在不同语境中的采用；“国际风格”作为命名问题简短回指6.2，不在此完整重述。</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构件、生产许可与制造合作；不重复钢管工艺原理。</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CIAM、展览、期刊与厂商网络；《Domus》《Casabella》连接意大利企业、建筑与家居设计。意大利理性主义以这些渠道中的具体实践补入，不改目录节题。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专业读者、厂商与展览受众；设计师、编辑、制造商各自选择传播内容。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CIAM声明及期刊讨论；1933年会议与1943年出版的《雅典宪章》区分，不能把后出的文本直接当作当年原文。</w:t>
            </w:r>
          </w:p>
        </w:tc>
      </w:tr>
    </w:tbl>
    <w:p>
      <w:pPr>
        <w:spacing w:lineRule="auto"/>
      </w:pPr>
    </w:p>
    <w:p>
      <w:pPr>
        <w:spacing w:line="360" w:before="315" w:after="105" w:lineRule="auto"/>
        <w:ind w:left="-30"/>
        <w:jc w:val="left"/>
      </w:pPr>
      <w:bookmarkStart w:id="10" w:name="中国_都锦生_尚美图案馆与染织设计"/>
      <w:r>
        <w:rPr>
          <w:rFonts w:eastAsia="source serif 4" w:cs="source serif 4" w:ascii="source serif 4" w:hAnsi="source serif 4"/>
          <w:b/>
          <w:color w:val="000000"/>
          <w:sz w:val="24"/>
        </w:rPr>
        <w:t xml:space="preserve">中国：都锦生、尚美图案馆与染织设计</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范围</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1920—1930年代，以染织品、图样与工业合作为中心。</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染织设计通过图像转译和图案委托，连接学校知识、传统工艺与现代生产。</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教学与教材归第四章中国栏，月份牌及商业美术归第七章中国栏。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都锦生《九溪十八涧》与陈之佛植物染织图案：前者讨论照片到织物的转译，后者讨论植物形态到装饰单元的组织。</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风景织锦与实用装饰织物，区分可独立欣赏的像景织锦和适用于家居的连续花样。</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明暗、层次、植物简化、重复与适合纹样；不把照片效果当作全部染织设计的目标。</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丝线、织物组织、提花花版和色彩配置；传统技能参与图样实现，并非机器完全取代工匠判断。</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都锦生丝织厂、照片—图样—花版—织造流程，尚美图案馆接受企业图案委托。设计者作为企业经营者和独立供稿者的不同关系随案例解释。</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丝织企业、国内外购买者及家居装饰需求；博览会获奖不等同于所有产品都获得市场成功。</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企业产品介绍、图案委托与陈之佛相关图案论述；不将未经引用支持的“实业报国”口号写为人物原话。</w:t>
            </w:r>
          </w:p>
        </w:tc>
      </w:tr>
    </w:tbl>
    <w:p>
      <w:pPr>
        <w:spacing w:lineRule="auto"/>
      </w:pPr>
    </w:p>
    <w:p>
      <w:pPr>
        <w:spacing w:line="360" w:before="315" w:after="105" w:lineRule="auto"/>
        <w:ind w:left="-30"/>
        <w:jc w:val="left"/>
      </w:pPr>
      <w:bookmarkStart w:id="11" w:name="观念_现代主义与装饰艺术之争"/>
      <w:r>
        <w:rPr>
          <w:rFonts w:eastAsia="source serif 4" w:cs="source serif 4" w:ascii="source serif 4" w:hAnsi="source serif 4"/>
          <w:b/>
          <w:color w:val="000000"/>
          <w:sz w:val="24"/>
        </w:rPr>
        <w:t xml:space="preserve">观念：现代主义与装饰艺术之争</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核心问题</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什么被视为现代？装饰、工业生产与日常使用之间是否存在必然对立？</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分析材料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1925年展览对照、现代艺术家联盟主张、家具与产品的实际生产和价格；结合各节案例说明两条路径均有内部差异。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理论任务</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区分当时人使用的名称与后来的“Art Deco”分类；把机器生产、手工、价格、象征和功能分开讨论。</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限制</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不把争论缩为“装饰是否合法”，也不把现代主义等同于无装饰、装饰艺术等同于奢侈品；不预设哪一派必然胜出。</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接第四章艺术与技术问题，向第六章消费市场、造型与工业设计实践展开。</w:t>
            </w:r>
          </w:p>
        </w:tc>
      </w:tr>
    </w:tbl>
    <w:p>
      <w:pPr>
        <w:spacing w:lineRule="auto"/>
      </w:pPr>
    </w:p>
    <w:p>
      <w:pPr>
        <w:spacing w:line="360" w:before="315" w:after="105" w:lineRule="auto"/>
        <w:ind w:left="-30"/>
        <w:jc w:val="left"/>
      </w:pPr>
      <w:bookmarkStart w:id="12" w:name="三_重复与跨章审查"/>
      <w:r>
        <w:rPr>
          <w:rFonts w:eastAsia="source serif 4" w:cs="source serif 4" w:ascii="source serif 4" w:hAnsi="source serif 4"/>
          <w:b/>
          <w:color w:val="000000"/>
          <w:sz w:val="24"/>
        </w:rPr>
        <w:t xml:space="preserve">三、重复与跨章审查</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对象</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分工</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包豪斯产品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第四章课程与原型；5.1厂商生产、采用和使用；如果仍在重复同一制作故事，则用法兰克福厨房替换。</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风格派</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3.4艺术与理论形成；5.2家具、住宅与印刷实施。</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瑞士</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5.3两战之间基础；9.4战后体系与字体。</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北欧</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5.6战前形成；9.3战后推广和产品，不把蚂蚁椅等提前。</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柯布西耶</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5.5作品及论述；5.7组织活动只简述；不重复人物生平。</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托内特目录</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5.1说明具体产品生产；5.7分析跨国传播，不在两处重复展示整套产品。</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德国政治变化</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本章交代对企业、市政和移民的影响；国家工程及宣传归第八章。</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意大利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5.7借期刊和企业网络补入战前实践；9.3写战后，10.3写激进设计。</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中国染织</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第四章教学、第五章产品与委托、第七章商业视觉；身份信息不另设跨章接力链。</w:t>
            </w:r>
          </w:p>
        </w:tc>
      </w:tr>
    </w:tbl>
    <w:p>
      <w:pPr>
        <w:spacing w:lineRule="auto"/>
      </w:pPr>
    </w:p>
    <w:p>
      <w:pPr>
        <w:spacing w:line="360" w:before="315" w:after="105" w:lineRule="auto"/>
        <w:ind w:left="-30"/>
        <w:jc w:val="left"/>
      </w:pPr>
      <w:bookmarkStart w:id="13" w:name="四_图像材料选择"/>
      <w:r>
        <w:rPr>
          <w:rFonts w:eastAsia="source serif 4" w:cs="source serif 4" w:ascii="source serif 4" w:hAnsi="source serif 4"/>
          <w:b/>
          <w:color w:val="000000"/>
          <w:sz w:val="24"/>
        </w:rPr>
        <w:t xml:space="preserve">四、图像材料选择</w:t>
      </w:r>
      <w:bookmarkEnd w:id="13"/>
    </w:p>
    <w:p>
      <w:pPr>
        <w:spacing w:line="360" w:after="210" w:lineRule="auto"/>
      </w:pPr>
      <w:r>
        <w:rPr>
          <w:rFonts w:eastAsia="source serif 4" w:cs="source serif 4" w:ascii="source serif 4" w:hAnsi="source serif 4"/>
          <w:color w:val="000000"/>
        </w:rPr>
        <w:t xml:space="preserve">5.1：法兰克福厨房与住宅展；5.2：施罗德住宅、红蓝椅或电缆厂印刷品；5.3：旅游海报、兰迪椅；5.4：地铁图、企鹅封面、收音机；5.5：两个展馆对照及家具；5.6：疗养院、椅或玻璃餐具；5.7：目录、期刊与跨国展览材料；中国栏目：风景织锦与植物染织图案。</w:t>
      </w:r>
    </w:p>
    <w:p>
      <w:pPr>
        <w:spacing w:line="360" w:before="315" w:after="105" w:lineRule="auto"/>
        <w:ind w:left="-30"/>
        <w:jc w:val="left"/>
      </w:pPr>
      <w:bookmarkStart w:id="14" w:name="五_编写依据说明"/>
      <w:r>
        <w:rPr>
          <w:rFonts w:eastAsia="source serif 4" w:cs="source serif 4" w:ascii="source serif 4" w:hAnsi="source serif 4"/>
          <w:b/>
          <w:color w:val="000000"/>
          <w:sz w:val="24"/>
        </w:rPr>
        <w:t xml:space="preserve">五、编写依据说明</w:t>
      </w:r>
      <w:bookmarkEnd w:id="14"/>
    </w:p>
    <w:p>
      <w:pPr>
        <w:spacing w:line="360" w:after="210" w:lineRule="auto"/>
      </w:pPr>
      <w:r>
        <w:rPr>
          <w:rFonts w:eastAsia="source serif 4" w:cs="source serif 4" w:ascii="source serif 4" w:hAnsi="source serif 4"/>
          <w:color w:val="000000"/>
        </w:rPr>
        <w:t xml:space="preserve">法兰克福厨房、托内特目录采用MoMA藏品及展览资料；兰迪椅、英国家电、法国与北欧产品采用相应博物馆藏品资料；中国栏目采用都锦生织锦藏品说明、杭州档案及陈之佛作品展资料。研究中的日期、原话与生产数量应对应实际来源；框架不以模糊区间消解争议，也不以未经核读的数字装饰论证。</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2026-10-13T13:49:51.787Z</dcterms:created>
  <dcterms:modified xsi:type="dcterms:W3CDTF">2026-10-13T13:49:51.787Z</dcterms:modified>
</cp:coreProperties>
</file>