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现当代设计史_第十一章写作内容框架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《现当代设计史》第十一章写作内容框架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章题：第十一章　全球化时代的设计与多元发展。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依据：对话上传的修订版目录；体例同第四至十章——每节先列时段、论点、接口，再按七个维度写案例内容；设计师身份随案例交代，不单列；不编排详细小结、自然段、字数，不设“待补与待核”栏目。案例范围为写作规划，不代表每个细节均已完成原始史料核验。</w:t>
      </w:r>
    </w:p>
    <w:p>
      <w:pPr>
        <w:spacing w:line="360" w:before="315" w:after="105" w:lineRule="auto"/>
        <w:ind w:left="-30"/>
        <w:jc w:val="left"/>
      </w:pPr>
      <w:bookmarkStart w:id="1" w:name="一_全章定位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一、全章定位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历史问题：1980年代末至2000年代，冷战结束、跨国生产与全球市场把设计从地区体制中抽出，设计与制造在空间上分离，各地区以何种方式重新定义自身的设计，社会责任与可持续又如何成为新的设计议题。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主体范围：1985—2008年前后；11.1从1980年代中期的品牌全球化起，11.7延至2000年代中期的可持续转向；数字工具与网络归第十二、十三章，21世纪的后续发展归第十四章。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结构：11.1写传播机制；11.2写跨国企业与价值链；11.3欧洲；11.4北美；11.5亚洲、拉美与非洲；11.6本土文化与身份；11.7社会责任与可持续；中国栏写改革开放与设计行业的重建（1978—2000年前后）；观念栏综合全球化与去殖民化设计。11.3—11.5按地区并列，11.6—11.7按议题并列，同一案例（如无印良品、宜家）只在一处持有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七个维度为检查工具：作品、产品、元素、材料与技术、生产组织与设计媒介、委托与使用、观念与话语。</w:t>
      </w:r>
    </w:p>
    <w:p>
      <w:pPr>
        <w:spacing w:line="360" w:before="315" w:after="105" w:lineRule="auto"/>
        <w:ind w:left="-30"/>
        <w:jc w:val="left"/>
      </w:pPr>
      <w:bookmarkStart w:id="2" w:name="二_各节写作框架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二、各节写作框架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11_1_全球化与设计传播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11.1 全球化与设计传播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1985—2005年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品牌、展会、博物馆与设计出版把设计转为跨国流通的形象与知识，设计传播的渠道本身成为设计产业的一部分。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互联网传播归13.1；明星设计师的签名产品在10.5已写，此处只写其跨国化一句。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米兰家具展（Salone del Mobile）的国际化与“卫星展”（1998起）；伦敦设计博物馆（1989）与维特拉设计博物馆（1989）的开馆；耐克“Just Do It”全球广告（1988起）。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宜家目录与全球统一产品线（1990年代进入中国、俄罗斯）；Swatch的全球发行只回指；斯塔克的跨国签名产品（Alessi、Kartell、Flos）作为设计师品牌化一句。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全球统一的品牌视觉识别、“扁平”产品命名、设计博物馆对“经典”的建构。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全球物流、平板包装、快速原型（1990年代前期）作为跨国协作前提一句。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展会与双年展、设计博物馆、国际设计奖（红点1955起、iF 1954起在1990年代的国际化）、设计杂志（《Wallpaper*》1996、《Domus》国际版）；设计师作为品牌签名作者、展会参与者、博物馆被收藏者的身份在案例中交代。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跨国企业、城市文化政策、全球中产消费者。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莱维特“市场全球化”（1983）；设计博物馆建馆文件；记录文本。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bm_11_2_跨国企业_全球价值链与设计_制造的分离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11.2 跨国企业、全球价值链与设计—制造的分离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1985—2008年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全球价值链把设计、品牌与制造分配到不同国家，设计集中于总部与咨询公司，制造转移到东亚与墨西哥，“设计—制造分离”成为新的职业条件。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第一章1.2与第六章6.1的分工只回指；中国代工的本地视角归中国栏；苹果与数字产品归12.5。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以组织与流程为对象：IDEO（1991成立）的设计流程与客户案例；青蛙设计从德国迁美国（1980年代）的跨国服务；三星1996年“设计革命”宣言与设计中心网络。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苹果Macintosh（1984）与“Snow White”设计语言（青蛙设计）作为设计外包案例；耐克运动鞋的设计—代工分离（俄勒冈设计、亚洲代工）；戴森DC01（1993，英国设计、马来西亚制造2002起）。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统一的“全球外观”；品牌对工厂匿名化。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CAD数据跨国传输、模具外包、注塑与电子装配的集中。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设计咨询公司（IDEO、青蛙、Smart Design）；企业内部设计中心的全球布局（飞利浦、三星、索尼）；OEM—ODM—OBM链条；设计师作为咨询公司雇员、企业总部设计师与代工厂制图员三种位置在案例中区分。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跨国品牌企业、代工厂、全球消费者。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Gereffi关于“全球商品链”的论述（1994）；苹果与耐克关于“设计在加州”的话语；记录文本，分析归观念栏。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bm_11_3_欧洲设计的新发展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11.3 欧洲设计的新发展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1985—2008年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欧洲设计在后现代之后转向概念设计、荷兰式的“观念实验”与解构建筑，同时欧盟整合与东欧转轨改变了设计的区域格局。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10.4—10.5意大利后现代只回指；北欧战后归9.3；东欧1945—89归9.5。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楚米拉维莱特公园（1987）与盖里毕尔巴鄂古根海姆（1997）作为解构与城市营销；1993年米兰Droog首展；罗恩·阿拉德“Rover”椅（1981）与一次性金属家具。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Droog：雷米“抽屉柜”（1991）与“牛奶瓶灯”（1991）；阿莱西1990年代的“家庭追随虚构”塑料系列（门迪尼策划，1991）；贝鲁斯塔Pathé电视（1990年代）；东欧：捷克Tatra 700（1996）与波兰转轨后的设计一句。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荷兰观念设计的“干”与再利用、解构建筑的碎片化、意大利对可爱与塑料的转向。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回收材料与现成物、CAD/CAM曲面与数控加工、塑料注塑的小批量。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埃因霍温设计学院（1998年改名）与Droog基金会；欧盟设计政策（丹麦、英国创意产业1998）；东欧设计机构的转型；设计师作为学院毕业生—策展人—品牌经营者的身份在案例中交代。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城市与博物馆、设计画廊与藏家、中产消费者、东欧新私营企业。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拉马克斯与巴克“Droog”（干）的命名；盖里“毕尔巴鄂效应”话语；英国“创意产业”定义（1998）；记录文本。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bm_11_4_北美设计的新变化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11.4 北美设计的新变化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1985—2008年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北美设计从企业形象与产品造型转向品牌体验、设计思维与通用设计，设计咨询公司与商学院成为新的话语中心。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11.2咨询公司已写组织形态，此处写产品与方法；苹果数字产品归12.5；用户体验归13.5。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塔吉特与格雷夫斯合作（1999起）把设计师产品带入大众零售；星巴克店铺体验（1990年代扩张）；OXO“Good Grips”厨具（1990，Smart Design）作为通用设计案例。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OXO削皮器；赫曼·米勒Aeron椅（1994，查德威克与斯顿夫）；苹果iMac G3（1998）只作接口一句；Patagonia户外产品的回收面料（1993）作为11.7接口。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柔性抓握与“通用”形式；网状材料与人机工程可视化；大众零售中的“设计民主化”话语。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热塑性弹性体（Santoprene）、Pellicle网布、回收聚酯。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Smart Design、IDEO、Ziba；塔吉特的设计师合作项目；商学院与“设计思维”（斯坦福d.school 2005）；设计师作为咨询公司雇员、零售合作签名作者与大学教员的身份在案例中交代。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大众零售商、办公家具企业、老龄与残障使用者（OXO起点）、企业管理层。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《美国残疾人法案》（1990）对通用设计的推动；梅斯“通用设计七原则”（1997）；蒂姆·布朗“设计思维”（2008《哈佛商业评论》）作为接口；记录文本。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bm_11_5_亚洲_拉美与非洲的设计发展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11.5 亚洲、拉美与非洲的设计发展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1985—2008年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亚洲以企业设计与国家政策进入全球竞争，拉美与非洲则在制造基础薄弱的条件下以本土材料、非正式生产与文化输出形成设计，三者的差异来自其在价值链中的位置。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日本战后归9.6；港台归第十章中国栏；中国内地归中国栏；本土身份与去殖民化的理论归11.6与观念栏。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日本：无印良品（1980起，田中一光至原研哉）作为“无品牌”策略；三星与LG的设计中心只回指11.2；韩国1988年汉城奥运视觉系统。印度：国家设计学院NID（1961，伊姆斯报告1958）在1990年代的产业转向。巴西：坎帕纳兄弟“Favela”椅（1991）与“Vermelha”椅（1993，Edra量产1998）。非洲：塞内加尔与马里的本土纺织品进入国际时尚；南非1994年后的国家形象设计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无印良品日用品；塔塔Nano（2008）只作接口；坎帕纳家具；非洲回收材料产品（肯尼亚、加纳的回收塑料拖鞋与铁皮制品）。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日本的“空”与去品牌化；拉美的非正式材料拼合；非洲的鲜艳印花与手工痕迹。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本地木材与碎料、回收塑料与金属、低成本制造。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日本企业设计部门与零售品牌；印度NID与国家政策；巴西设计师与意大利企业的合作（Edra）；非洲的非正式作坊与国际NGO项目；设计师作为企业创意总监、国家机构毕业生、艺术家型设计师与非正式部门工匠的身份在案例中区分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本地中产、国际时尚与设计市场、国家形象工程、发展项目。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原研哉关于“这样就好”的论述；伊姆斯《印度报告》（1958）作为NID起点一句；坎帕纳关于“贫穷材料”的访谈；记录文本。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bm_11_6_本土文化_身份与设计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11.6 本土文化、身份与设计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1985—2008年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面对全球统一形象，各地设计以传统工艺、文字与符号重新建构身份，但这种建构同时服务于国家形象、旅游与出口，并引发对“本土”商品化的批评。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7.4民艺与第七章观念栏只回指；中国内地的“中国风”归中国栏；理论综合归观念栏。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香港石汉瑞的中西双语企业形象（1960年代起，本节写其1980—90年代的影响）；靳埭强“水墨”海报（1980—90年代）；澳大利亚2000年悉尼奥运视觉系统中的原住民符号及其争议；北欧“新北欧”设计的民族叙事（1990年代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日本传统工艺产地的再设计（有田烧1616/arita japan为2012年案例，此处只写1990年代前史一句）；印度Fabindia（1960起）在1990年代的扩张；墨西哥与秘鲁的手工艺品牌化。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书法与水墨进入现代平面；原住民图案的授权与挪用；“手工”作为高端标签。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传统染织、陶瓷与现代材料的混合；数字字体对非拉丁文字的支持作为12.3接口。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国家形象与旅游机构、工艺产地与设计师合作、国际双年展对“本土”的展示；设计师作为跨文化事务所主、国家项目受托人与工艺产地合作者的身份在案例中交代。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国家与城市政府、旅游与出口市场、海外侨民与本地中产。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靳埭强关于“中国文化与现代设计融合”的论述；澳大利亚原住民艺术授权争议的文件；记录文本。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bm_11_7_社会责任与可持续设计的兴起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11.7 社会责任与可持续设计的兴起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1971—2008年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巴帕奈克的批评经过1987年“可持续发展”定义与1990年代的生态设计方法，从边缘立场转为企业与政策议题，但其对消费本身的批评在转化中被弱化。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10.1只记巴帕奈克文本，本节持有其影响；21世纪气候危机下的转型归14.5；通用设计归11.4。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巴帕奈克“锡罐收音机”（1960年代）；布伦特兰报告（1987）作为政策文本；1992年里约地球峰会；麦克多诺与布朗加特“从摇篮到摇篮”（2002）。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Patagonia回收聚酯抓绒（1993）；赫曼·米勒Mirra椅（2003，C2C认证）；飞利浦“绿色旗舰”产品（1990年代）；OLPC“百美元电脑”XO（2005—07，贝哈尔设计）作为“为另90%设计”接口；Freeplay发条收音机（1995）。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可拆解结构、单一材料、回收标识、“为另90%”的低成本形态。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回收聚酯、可拆解连接、生命周期评估（LCA）方法、太阳能与手摇发电。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环保NGO与企业可持续部门、C2C认证机构、设计学院的生态设计课程（1990年代）、库珀·休伊特“为另90%设计”展（2007）；设计师作为企业可持续项目负责人、NGO合作者与学院教员的身份在案例中交代。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企业、政府采购、发展中国家使用者、具环保意识的消费者。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巴帕奈克《为真实的世界设计》（1971）的核心主张（本节持有）；布伦特兰报告对“可持续发展”的定义；麦克多诺与布朗加特“废物即食物”；记录文本，分析归观念栏与14.5。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中国_改革开放与设计行业的重建_1978_2000年前后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中国：改革开放与设计行业的重建（1978—2000年前后）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1978—2001年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改革开放把“工业设计”作为新概念引入，设计职业经由港台与外资代工、高校设科、企业设计部门三条路径重建，珠三角的制造业成为设计—制造分离链条的中国端。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第九章中国栏1949—78只回指；港台归第十章中国栏，与内地关系在此写；2001年入世后归第十四章中国栏；汉字激光照排归第十二章中国栏。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1979年中央工艺美术学院与首都机场壁画作为过渡一句；1987年中国工业设计协会成立；1992年广州美术学院与香港设计师合作项目；深圳“平面设计在中国”展（1992）；北京2008申奥标志（2001，陈绍华）作为接口。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海尔冰箱（1984年起引进利勃海尔技术，1990年代建立设计部门）；联想早期个人电脑（1990年起）；珠三角代工的家电与玩具；“燕舞”收录机（1980年代）作为消费品广告案例；美的、格兰仕等的OEM产品。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从仿制到“改型”的外观变化；家电的“中国化”色彩与功能标识；广告与包装的兴起。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引进生产线、注塑与钣金外壳、港资与台资工厂的模具技术。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湖南大学（1977起设工业设计方向）、中央工艺美术学院工业设计系（1984）、无锡轻工业学院等高校设科；企业设计部门（海尔、联想、康佳）；深圳平面设计师群体（王粤飞、陈绍华等）与设计公司；港台设计师与外资企业的培训作用；设计者作为高校新科毕业生、企业内部设计师、设计公司合伙人与代工厂制图员的身份在案例中区分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国有与乡镇企业、外资与港台订单、城市新消费者、政府形象工程。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1980年代“工业设计”概念的译介与论争（“工艺美术”与“工业设计”之争）；柳冠中等关于“设计事理学”的早期论述；深圳展览的宣言；记录文本，分析归观念栏与第十四章中国栏。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1" w:name="观念_全球化与去殖民化设计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观念：全球化与去殖民化设计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核心问题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当设计与制造在全球分离，“设计在哪里发生”与“谁的设计史”成为问题，各地区如何在全球市场中重新定义自身的设计？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分析材料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11.1传播渠道；11.2价值链中的匿名制造；11.5三大洲的不同位置；11.6身份建构及其商品化；11.7“为另90%设计”的话语；中国栏的概念译介与代工。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分析任务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区分全球化的三种设计效应（统一形象、分离生产、身份反弹）；指出“去殖民化设计”作为学术话语在2000年代后期才形成（埃斯科瓦尔、弗莱、安萨里等），本章只写其前史与条件；比较“本土”在国家形象、旅游和出口中的不同使用；说明中国从“世界工厂”向“中国设计”的话语转变如何与这些问题相关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表述限制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不把全球化写成西方设计的单向扩散或“美国化”；不把本土身份设计一概视为抵抗或一概视为商品化；不以2010年代的去殖民化理论倒推1990年代实践的意图。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接第十章观念栏；向第十二章观念栏工具与职业重组、第十四章观念栏“从产品到系统”及14.6设计伦理开放。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2" w:name="三_重复与跨章审查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三、重复与跨章审查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对象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分工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巴帕奈克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10.1记录文本；11.7持有影响与案例。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苹果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11.2写Macintosh设计外包与“设计在加州”；12.5持有数字产品；不重述乔布斯生平。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11.2写组织；11.4写方法与产品；13.5写用户研究方法，不重复成立史。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无印良品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11.5持有；11.6不重复。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宜家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11.1持有全球化；9.3不涉及；不在11.7重复其可持续话语。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石汉瑞、靳埭强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11.6持有；第十章中国栏只一句。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坎帕纳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11.5持有；11.7不重复其回收材料。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通用设计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11.4持有；11.7只作接口；13.2写数字可访问性。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中国内地设计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第九章中国栏1949—78；本章1978—2001；第十二章汉字照排；第十四章2001后。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去殖民化理论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本章观念栏只写前史；14.6与第十四章观念栏持有其当代形态。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3" w:name="四_图像材料选择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四、图像材料选择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11.1：米兰家具展现场、维特拉设计博物馆；11.2：Macintosh与青蛙设计草图、耐克代工厂照片；11.3：Droog抽屉柜、毕尔巴鄂古根海姆；11.4：OXO削皮器、Aeron椅；11.5：无印良品早期海报、Favela椅、非洲回收制品；11.6：靳埭强海报、悉尼奥运标识；11.7：锡罐收音机、Mirra椅、OLPC XO；中国栏：海尔早期冰箱、深圳1992年展览海报、联想早期电脑。</w:t>
      </w:r>
    </w:p>
    <w:p>
      <w:pPr>
        <w:spacing w:line="360" w:before="315" w:after="105" w:lineRule="auto"/>
        <w:ind w:left="-30"/>
        <w:jc w:val="left"/>
      </w:pPr>
      <w:bookmarkStart w:id="14" w:name="五_编写依据说明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五、编写依据说明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展会与博物馆采用米兰家具展、维特拉与伦敦设计博物馆档案；价值链采用Gereffi等全球商品链研究及企业年报；欧洲采用Droog基金会档案、阿莱西档案、英国DCMS创意产业文件；北美采用Smart Design与赫曼·米勒档案、北卡州立大学通用设计中心文献；亚非拉采用无印良品企业资料、NID院史、坎帕纳工作室档案与非洲设计研究；可持续采用巴帕奈克原著、布伦特兰报告、C2C认证文件、库珀·休伊特2007年展图录；中国栏采用中国工业设计协会史料、湖南大学与清华美院系史、海尔与联想企业史、深圳平面设计协会资料。引文与年份须对应原始出处，不以概括性网页替代。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2026-10-13T14:34:20.020Z</dcterms:created>
  <dcterms:modified xsi:type="dcterms:W3CDTF">2026-10-13T14:34:20.020Z</dcterms:modified>
</cp:coreProperties>
</file>