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现当代设计史_第十二章写作内容框架"/>
      <w:r>
        <w:rPr>
          <w:rFonts w:eastAsia="source serif 4" w:cs="source serif 4" w:ascii="source serif 4" w:hAnsi="source serif 4"/>
          <w:b/>
          <w:color w:val="000000"/>
          <w:sz w:val="39"/>
        </w:rPr>
        <w:t xml:space="preserve">《现当代设计史》第十二章写作内容框架</w:t>
      </w:r>
      <w:bookmarkEnd w:id="0"/>
    </w:p>
    <w:p>
      <w:pPr>
        <w:spacing w:line="360" w:after="210" w:lineRule="auto"/>
      </w:pPr>
      <w:r>
        <w:rPr>
          <w:rFonts w:eastAsia="source serif 4" w:cs="source serif 4" w:ascii="source serif 4" w:hAnsi="source serif 4"/>
          <w:color w:val="000000"/>
        </w:rPr>
        <w:t xml:space="preserve">章题：第十二章　数字技术与设计生产方式的转变。</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依据：对话上传的修订版目录；体例同第四至十一章——每节先列时段、论点、接口，再按七个维度写案例内容；设计师身份随案例交代，不单列；不编排详细小结、自然段、字数，不设“待补与待核”栏目。案例范围为写作规划，不代表每个细节均已完成原始史料核验。</w:t>
      </w:r>
    </w:p>
    <w:p>
      <w:pPr>
        <w:spacing w:line="360" w:before="315" w:after="105" w:lineRule="auto"/>
        <w:ind w:left="-30"/>
        <w:jc w:val="left"/>
      </w:pPr>
      <w:bookmarkStart w:id="1" w:name="一_全章定位"/>
      <w:r>
        <w:rPr>
          <w:rFonts w:eastAsia="source serif 4" w:cs="source serif 4" w:ascii="source serif 4" w:hAnsi="source serif 4"/>
          <w:b/>
          <w:color w:val="000000"/>
          <w:sz w:val="24"/>
        </w:rPr>
        <w:t xml:space="preserve">一、全章定位</w:t>
      </w:r>
      <w:bookmarkEnd w:id="1"/>
    </w:p>
    <w:p>
      <w:pPr>
        <w:spacing w:line="360" w:after="210" w:lineRule="auto"/>
      </w:pPr>
      <w:r>
        <w:rPr>
          <w:rFonts w:eastAsia="source serif 4" w:cs="source serif 4" w:ascii="source serif 4" w:hAnsi="source serif 4"/>
          <w:color w:val="000000"/>
        </w:rPr>
        <w:t xml:space="preserve">历史问题：计算机从研究机构的工具变为设计师桌面上的日常工具，这一变化如何改变了设计的生产流程、技能分工、职业边界与产品形态。</w:t>
      </w:r>
    </w:p>
    <w:p>
      <w:pPr>
        <w:spacing w:line="360" w:after="210" w:lineRule="auto"/>
      </w:pPr>
      <w:r>
        <w:rPr>
          <w:rFonts w:eastAsia="source serif 4" w:cs="source serif 4" w:ascii="source serif 4" w:hAnsi="source serif 4"/>
          <w:color w:val="000000"/>
        </w:rPr>
        <w:t xml:space="preserve">主体范围：1963年Sketchpad至2000年代中期；12.1从交互图形的起源起，12.5延至2000年代的数字产品；网络、界面与交互的使用端归第十三章，人工智能与生成式设计归第十四章。</w:t>
      </w:r>
    </w:p>
    <w:p>
      <w:pPr>
        <w:spacing w:line="360" w:after="210" w:lineRule="auto"/>
      </w:pPr>
      <w:r>
        <w:rPr>
          <w:rFonts w:eastAsia="source serif 4" w:cs="source serif 4" w:ascii="source serif 4" w:hAnsi="source serif 4"/>
          <w:color w:val="000000"/>
        </w:rPr>
        <w:t xml:space="preserve">结构：12.1写工具革命的技术与机构起源；12.2写桌面出版对平面生产的改造；12.3写数字字体与图像；12.4写软件与流程（CAD、CAM、协作）；12.5写数字技术与产品设计（含数字产品本身）；中国栏写汉字激光照排与中文数字字库；观念栏综合工具、技能与职业的重组。本章以“生产方式”为主线，每节都要回答工具改变了谁的工作，而不是罗列软件版本。</w:t>
      </w:r>
    </w:p>
    <w:p>
      <w:pPr>
        <w:spacing w:line="360" w:after="210" w:lineRule="auto"/>
      </w:pPr>
      <w:r>
        <w:rPr>
          <w:rFonts w:eastAsia="source serif 4" w:cs="source serif 4" w:ascii="source serif 4" w:hAnsi="source serif 4"/>
          <w:color w:val="000000"/>
        </w:rPr>
        <w:t xml:space="preserve">本章与第十三章的边界：本章写设计如何被生产（工具、流程、字体、CAD、产品硬件与系统软件的设计），第十三章写数字媒介如何被使用与设计（网页、界面、信息、体验、平台）。Macintosh在12.1写工具与图形界面的生产条件，13.2写其界面作为交互设计对象。</w:t>
      </w:r>
    </w:p>
    <w:p>
      <w:pPr>
        <w:spacing w:line="360" w:after="210" w:lineRule="auto"/>
      </w:pPr>
      <w:r>
        <w:rPr>
          <w:rFonts w:eastAsia="source serif 4" w:cs="source serif 4" w:ascii="source serif 4" w:hAnsi="source serif 4"/>
          <w:color w:val="000000"/>
        </w:rPr>
        <w:t xml:space="preserve">七个维度为检查工具：作品、产品、元素、材料与技术、生产组织与设计媒介、委托与使用、观念与话语。</w:t>
      </w:r>
    </w:p>
    <w:p>
      <w:pPr>
        <w:spacing w:line="360" w:before="315" w:after="105" w:lineRule="auto"/>
        <w:ind w:left="-30"/>
        <w:jc w:val="left"/>
      </w:pPr>
      <w:bookmarkStart w:id="2" w:name="二_各节写作框架"/>
      <w:r>
        <w:rPr>
          <w:rFonts w:eastAsia="source serif 4" w:cs="source serif 4" w:ascii="source serif 4" w:hAnsi="source serif 4"/>
          <w:b/>
          <w:color w:val="000000"/>
          <w:sz w:val="24"/>
        </w:rPr>
        <w:t xml:space="preserve">二、各节写作框架</w:t>
      </w:r>
      <w:bookmarkEnd w:id="2"/>
    </w:p>
    <w:p>
      <w:pPr>
        <w:spacing w:line="360" w:before="315" w:after="105" w:lineRule="auto"/>
        <w:ind w:left="-30"/>
        <w:jc w:val="left"/>
      </w:pPr>
      <w:bookmarkStart w:id="3" w:name="bm_12_1_计算机与设计工具革命"/>
      <w:r>
        <w:rPr>
          <w:rFonts w:eastAsia="source serif 4" w:cs="source serif 4" w:ascii="source serif 4" w:hAnsi="source serif 4"/>
          <w:b/>
          <w:color w:val="000000"/>
          <w:sz w:val="24"/>
        </w:rPr>
        <w:t xml:space="preserve">12.1 计算机与设计工具革命</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1963—1985年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交互式图形计算机从军事与大学研究中产生，经施乐PARC与苹果转为个人工具，使“直接操作图形”成为设计工作的新基础。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图形界面作为交互设计对象归13.2；桌面出版归12.2；CAD在工程中的起源在此只一句，流程归12.4。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萨瑟兰Sketchpad（1963，MIT林肯实验室TX-2）；恩格尔巴特“所有演示之母”（1968，鼠标与超文本）；施乐Alto（1973）与Star（1981）；苹果Lisa（1983）与Macintosh（1984）。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Macintosh 128K及其MacPaint、MacWrite；鼠标（恩格尔巴特原型—施乐—苹果的Hovey-Kelley设计1980）；早期图形工作站（Sun、SGI）作为12.4接口。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位图屏幕、窗口与图标、所见即所得（WYSIWYG）、桌面隐喻。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光笔与CRT、位图显示、鼠标机械结构、激光打印预示（PARC 1971）。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ARPA资助的大学实验室、施乐PARC（1970）、苹果与青蛙设计的硬件合作（11.2已写外包，此处写工具属性）；图形界面的设计者（凯、戈德堡、苏珊·凯尔的Mac图标）作为研究员与软件公司雇员的身份在案例中交代。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军方与研究基金、企业办公市场（Star失败）、个人用户（Macintosh）。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布什《诚如所思》（1945）作为前史一句；恩格尔巴特“增强人类智能”（1962）；凯“Dynabook”（1972）；苹果1984年广告；记录文本。</w:t>
            </w:r>
          </w:p>
        </w:tc>
      </w:tr>
    </w:tbl>
    <w:p>
      <w:pPr>
        <w:spacing w:lineRule="auto"/>
      </w:pPr>
    </w:p>
    <w:p>
      <w:pPr>
        <w:spacing w:line="360" w:before="315" w:after="105" w:lineRule="auto"/>
        <w:ind w:left="-30"/>
        <w:jc w:val="left"/>
      </w:pPr>
      <w:bookmarkStart w:id="4" w:name="bm_12_2_桌面出版与数字视觉生产"/>
      <w:r>
        <w:rPr>
          <w:rFonts w:eastAsia="source serif 4" w:cs="source serif 4" w:ascii="source serif 4" w:hAnsi="source serif 4"/>
          <w:b/>
          <w:color w:val="000000"/>
          <w:sz w:val="24"/>
        </w:rPr>
        <w:t xml:space="preserve">12.2 桌面出版与数字视觉生产</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1985—1995年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PostScript、激光打印与排版软件把排字、制版与设计三个行业的分工压缩到一张桌面上，平面设计师获得了生产控制权，也承担了原属排字工的技能。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10.6已写数字工具相遇前的实验平面，此处承接《埃米格雷》1985年后的数字实践；字体归12.3。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《埃米格雷》杂志1985年起的Macintosh排版（范德兰斯与利科）；格雷曼《Design Quarterly》133期“Does It Make Sense?”（1986）；卡森《Ray Gun》（1992—95）的“非可读”排版；布罗迪“Fuse”项目（1991起）作为12.3接口。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Aldus PageMaker（1985）、苹果LaserWriter（1985）与Adobe PostScript（1984）构成的“桌面出版”三件套；QuarkXPress（1987）；Adobe Illustrator（1987）与Photoshop（1990）。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位图字体的低分辨率美学（埃米格雷早期）、层叠与变形、图层合成图像。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PostScript页面描述语言、300dpi激光打印、扫描仪与图像处理、照排机输出。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Adobe（1982）、Aldus、Quark作为新的“工具制造商”；排字行业的萎缩（美国排字工会的衰落）；设计工作室内部完成排版；设计师作为自我排版者、软件早期采用者与杂志发行人的身份在案例中交代。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杂志与出版、企业内部文印（桌面出版的最大市场）、独立设计师。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范德兰斯与利科关于“工具的本真性”的论述；《埃米格雷》与马西莫·维涅利1991年的“垃圾”论争；记录文本，分析归观念栏。</w:t>
            </w:r>
          </w:p>
        </w:tc>
      </w:tr>
    </w:tbl>
    <w:p>
      <w:pPr>
        <w:spacing w:lineRule="auto"/>
      </w:pPr>
    </w:p>
    <w:p>
      <w:pPr>
        <w:spacing w:line="360" w:before="315" w:after="105" w:lineRule="auto"/>
        <w:ind w:left="-30"/>
        <w:jc w:val="left"/>
      </w:pPr>
      <w:bookmarkStart w:id="5" w:name="bm_12_3_数字字体与数字图像"/>
      <w:r>
        <w:rPr>
          <w:rFonts w:eastAsia="source serif 4" w:cs="source serif 4" w:ascii="source serif 4" w:hAnsi="source serif 4"/>
          <w:b/>
          <w:color w:val="000000"/>
          <w:sz w:val="24"/>
        </w:rPr>
        <w:t xml:space="preserve">12.3 数字字体与数字图像</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1975—2005年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字体从金属与照相制品变为可编辑的数字文件，字体设计从铸字厂的集体工艺变为独立设计师的小型产业，同时数字图像以像素与矢量重新定义了“图”的生产。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中文字库归中国栏；网页字体与屏幕排版归13.1；Helvetica与Univers归9.4。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克努斯Metafont（1977）作为算法字体先声；利科Emperor、Oakland位图字体（1985）与Mrs Eaves（1996）；弗鲁提格与Linotype的数字化；Verdana与Georgia（卡特，1996，微软屏幕字体）；Bitstream（1981）作为首家数字字体公司。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PostScript Type 1字体（1984）、TrueType（1991，苹果与微软）、OpenType（1996起）；Fontographer（1986）作为字体设计工具；Photoshop图层（1994）与矢量图形的普及。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字形轮廓的贝塞尔曲线、hinting与屏幕像素、字体家族的程序化扩展；图像的像素化与无限复制。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轮廓字体格式、屏幕渲染、扫描与数码摄影（1990年代后期）。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字体公司转型（Linotype、Monotype的数字化与合并）、独立数字字体厂（Emigre Fonts 1985、FontShop 1989、House Industries）；字体设计师从铸字厂雇员变为独立发行人与授权者；图像生产从暗房到软件。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操作系统厂商（微软、苹果）、出版与广告、普通用户首次成为字体选择者。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卡特关于“为屏幕而非纸张设计字体”的论述；《埃米格雷》对“字体复兴”的立场；记录文本。</w:t>
            </w:r>
          </w:p>
        </w:tc>
      </w:tr>
    </w:tbl>
    <w:p>
      <w:pPr>
        <w:spacing w:lineRule="auto"/>
      </w:pPr>
    </w:p>
    <w:p>
      <w:pPr>
        <w:spacing w:line="360" w:before="315" w:after="105" w:lineRule="auto"/>
        <w:ind w:left="-30"/>
        <w:jc w:val="left"/>
      </w:pPr>
      <w:bookmarkStart w:id="6" w:name="bm_12_4_软件与设计生产流程"/>
      <w:r>
        <w:rPr>
          <w:rFonts w:eastAsia="source serif 4" w:cs="source serif 4" w:ascii="source serif 4" w:hAnsi="source serif 4"/>
          <w:b/>
          <w:color w:val="000000"/>
          <w:sz w:val="24"/>
        </w:rPr>
        <w:t xml:space="preserve">12.4 软件与设计生产流程</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1980—2005年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CAD/CAM、三维建模与数字原型把设计、工程与制造的数据连接为一条链，改变了手绘—模型—模具的传统流程，并使复杂曲面与跨国协作成为可能。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11.2的价值链只回指；12.5写由此产生的产品；参数化与生成式设计归14.4。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盖里毕尔巴鄂古根海姆（1997）采用CATIA（航空软件）实现曲面，11.3已写建筑意义，此处写流程；波音777（1994）全数字化设计；罗斯·洛夫格罗夫与扎哈·哈迪德事务所的数字曲面作为设计流程案例。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AutoCAD（1982）、Alias（1983，工业设计曲面）、Pro/ENGINEER（1987，参数化）、SolidWorks（1995）、Rhino（1998）；3D Systems立体光刻机SLA-1（1987）作为快速原型起点。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NURBS曲面、参数化约束、数字渲染替代效果图。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立体光刻、FDM（1989）、数控铣削、CAD数据直接驱动模具。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软件公司（Autodesk、PTC、Dassault）；企业内部设计与工程的数据共享；跨国团队的文件传递；设计师从手绘与油泥模型转向建模，模型工匠与制图员岗位的消失；汽车业的数字造型流程（福特、通用1990年代）。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航空与汽车业、建筑事务所、工业设计咨询公司。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盖里关于“计算机让我们回到工匠与建造者的直接关系”的论述；米切尔《比特之城》（1995）一句；记录文本。</w:t>
            </w:r>
          </w:p>
        </w:tc>
      </w:tr>
    </w:tbl>
    <w:p>
      <w:pPr>
        <w:spacing w:lineRule="auto"/>
      </w:pPr>
    </w:p>
    <w:p>
      <w:pPr>
        <w:spacing w:line="360" w:before="315" w:after="105" w:lineRule="auto"/>
        <w:ind w:left="-30"/>
        <w:jc w:val="left"/>
      </w:pPr>
      <w:bookmarkStart w:id="7" w:name="bm_12_5_数字技术与产品设计"/>
      <w:r>
        <w:rPr>
          <w:rFonts w:eastAsia="source serif 4" w:cs="source serif 4" w:ascii="source serif 4" w:hAnsi="source serif 4"/>
          <w:b/>
          <w:color w:val="000000"/>
          <w:sz w:val="24"/>
        </w:rPr>
        <w:t xml:space="preserve">12.5 数字技术与产品设计</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1979—2007年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微电子使产品的功能与外壳脱钩，产品设计从造型机械转为设计“界面+外壳”，数字产品本身成为新的设计对象。</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界面交互归13.2；移动平台归13.6；11.2已写设计—制造分离与Macintosh外包。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索尼Walkman TPS-L2（1979）作为微电子产品起点；苹果iMac G3（1998，艾夫）与iPod（2001）；诺基亚3310（2000）与手机的大众化；任天堂Game Boy（1989）。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半透明塑料外壳（iMac）、点击滚轮（iPod）、单色LCD与按键布局（诺基亚）；Palm Pilot（1996）作为手持设备接口。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功能的“黑箱化”与外壳的符号化、极少按键与屏幕主导、色彩塑料的重新流行。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微处理器与闪存、注塑透明聚碳酸酯、锂电池、小型LCD。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苹果工业设计团队的内部化（艾夫1997年起）与软硬件一体开发；诺基亚设计中心（赫尔辛基—伦敦—加州）；索尼的产品企划；设计师作为企业内部设计总监、跨国设计中心成员与软件—硬件协作者的身份在案例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消费电子企业、大众消费者、通信运营商。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艾夫关于“设计不只是外观”的访谈；诺曼《设计心理学》（1988）作为13.2接口；记录文本。</w:t>
            </w:r>
          </w:p>
        </w:tc>
      </w:tr>
    </w:tbl>
    <w:p>
      <w:pPr>
        <w:spacing w:lineRule="auto"/>
      </w:pPr>
    </w:p>
    <w:p>
      <w:pPr>
        <w:spacing w:line="360" w:before="315" w:after="105" w:lineRule="auto"/>
        <w:ind w:left="-30"/>
        <w:jc w:val="left"/>
      </w:pPr>
      <w:bookmarkStart w:id="8" w:name="中国_汉字激光照排与中文数字字库"/>
      <w:r>
        <w:rPr>
          <w:rFonts w:eastAsia="source serif 4" w:cs="source serif 4" w:ascii="source serif 4" w:hAnsi="source serif 4"/>
          <w:b/>
          <w:color w:val="000000"/>
          <w:sz w:val="24"/>
        </w:rPr>
        <w:t xml:space="preserve">中国：汉字激光照排与中文数字字库</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时段</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1974—2005年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论点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汉字进入计算机排版的技术难题由国家项目解决，“告别铅与火”改变了中国出版印刷的生产方式，中文数字字库随后成为连接传统书法、铅活字与屏幕显示的新设计领域。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第十一章中国栏的设计行业重建只回指；汉字在界面与网络中的显示归第十三章中国栏；拼音输入法在此只一句。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维度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写作案例内容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作品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748工程”（1974年立项的汉字信息处理系统工程）；王选主持的华光系统（1979年输出第一张汉字激光照排样张，1985年华光III型投入《经济日报》使用）；方正系统（1988年起）；1987年《经济日报》成为首家告别铅字的报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产品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华光IV型与方正激光照排系统；方正字库（1990年代，以北京新华字模厂字稿为基础的宋体、黑体、仿宋、楷体数字化）；汉仪字库（1993）；GB2312（1980）与GBK（1995）编码标准；Windows 3.2与95中文版的系统字体。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元素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汉字轮廓的参数化压缩（王选的轮廓加参数描述方法）、字库中的书法体数字化（舒同体、启功体等）、点阵与屏幕字形。</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材料与技术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高倍率信息压缩、激光照排机、字模厂字稿的扫描与矢量化、输入法与编码。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生产组织与设计媒介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国家计委与电子工业部立项、北京大学计算机研究所、潍坊计算机公司、北京新华字模厂；北大方正（1988）与汉仪的公司化；字模厂老一代字体设计师（铅字时代的字稿绘制者）与计算机研究人员的协作，设计者身份从字模厂工人到字库公司字体设计师的转变在案例中交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委托与使用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国家出版印刷系统、报社与出版社、操作系统厂商、普通用户。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观念与话语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王选关于“跳过第二代、第三代直接研制第四代激光照排”的决策论述；“告别铅与火，迎来光与电”口号；记录文本，分析归观念栏。</w:t>
            </w:r>
          </w:p>
        </w:tc>
      </w:tr>
    </w:tbl>
    <w:p>
      <w:pPr>
        <w:spacing w:lineRule="auto"/>
      </w:pPr>
    </w:p>
    <w:p>
      <w:pPr>
        <w:spacing w:line="360" w:before="315" w:after="105" w:lineRule="auto"/>
        <w:ind w:left="-30"/>
        <w:jc w:val="left"/>
      </w:pPr>
      <w:bookmarkStart w:id="9" w:name="观念_工具_技能与设计职业的重组"/>
      <w:r>
        <w:rPr>
          <w:rFonts w:eastAsia="source serif 4" w:cs="source serif 4" w:ascii="source serif 4" w:hAnsi="source serif 4"/>
          <w:b/>
          <w:color w:val="000000"/>
          <w:sz w:val="24"/>
        </w:rPr>
        <w:t xml:space="preserve">观念：工具、技能与设计职业的重组</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项目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内容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核心问题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当工具把多个行业的技能压缩到一个人的桌面，设计职业的边界如何重划，被取消的技能去了哪里，新的依赖（软件公司）又带来了什么？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分析材料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12.1工具的研究机构起源；12.2排字工的消失与设计师的自我排版；12.3字体设计的个体化与格式标准的厂商控制；12.4模型工匠与制图员的消失、软件公司的标准化力量；12.5软硬件协作；中国栏字模厂工人向字库设计师的转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分析任务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区分三种重组：技能合并（排版）、技能转移（建模替代手绘）、技能新生（界面）；指出“去技能化”与“再技能化”同时发生；说明软件默认设置与格式标准对形式的隐性影响；比较第一章“构思与制作分离”与本章“制作回到构思者手中”的关系，但指出这一回归以对软件厂商的依赖为代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表述限制</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不把数字化写成单纯的解放或单纯的去技能化；不以第十四章的AI议题倒推本章；不把“工具决定风格”作为结论，而以案例说明工具与设计者选择的互动。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接口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接第一章观念栏“设计与工艺的分化”、第十一章观念栏；向第十三章观念栏“以用户为中心”与第十四章观念栏“从产品到系统”开放。</w:t>
            </w:r>
          </w:p>
        </w:tc>
      </w:tr>
    </w:tbl>
    <w:p>
      <w:pPr>
        <w:spacing w:lineRule="auto"/>
      </w:pPr>
    </w:p>
    <w:p>
      <w:pPr>
        <w:spacing w:line="360" w:before="315" w:after="105" w:lineRule="auto"/>
        <w:ind w:left="-30"/>
        <w:jc w:val="left"/>
      </w:pPr>
      <w:bookmarkStart w:id="10" w:name="三_重复与跨章审查"/>
      <w:r>
        <w:rPr>
          <w:rFonts w:eastAsia="source serif 4" w:cs="source serif 4" w:ascii="source serif 4" w:hAnsi="source serif 4"/>
          <w:b/>
          <w:color w:val="000000"/>
          <w:sz w:val="24"/>
        </w:rPr>
        <w:t xml:space="preserve">三、重复与跨章审查</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对象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分工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Macintosh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11.2外包与价值链；12.1工具与图形界面的生产条件；13.2界面作为交互设计对象；不在三处重述1984年发布史。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《埃米格雷》</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10.6只作接口；12.2持有数字排版；12.3持有字体。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格雷曼</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10.6新浪潮与1986年海报的实验意义；12.2只写其数字工具使用一句。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盖里毕尔巴鄂</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11.3建筑与城市营销；12.4只写CATIA流程。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苹果产品设计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12.5持有iMac与iPod；13.6持有iPhone与平台。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诺曼</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12.5只一句；13.2持有《设计心理学》与可供性。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快速原型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12.4持有起点；14.1写3D打印的普及与分布式制造。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中文字库</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本章中国栏持有；第十三章中国栏写网络与界面中的汉字显示。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排字行业</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1.4写铅活字机械化；12.2写其终结；不重述活字史。</w:t>
            </w:r>
          </w:p>
        </w:tc>
      </w:tr>
    </w:tbl>
    <w:p>
      <w:pPr>
        <w:spacing w:lineRule="auto"/>
      </w:pPr>
    </w:p>
    <w:p>
      <w:pPr>
        <w:spacing w:line="360" w:before="315" w:after="105" w:lineRule="auto"/>
        <w:ind w:left="-30"/>
        <w:jc w:val="left"/>
      </w:pPr>
      <w:bookmarkStart w:id="11" w:name="四_图像材料选择"/>
      <w:r>
        <w:rPr>
          <w:rFonts w:eastAsia="source serif 4" w:cs="source serif 4" w:ascii="source serif 4" w:hAnsi="source serif 4"/>
          <w:b/>
          <w:color w:val="000000"/>
          <w:sz w:val="24"/>
        </w:rPr>
        <w:t xml:space="preserve">四、图像材料选择</w:t>
      </w:r>
      <w:bookmarkEnd w:id="11"/>
    </w:p>
    <w:p>
      <w:pPr>
        <w:spacing w:line="360" w:after="210" w:lineRule="auto"/>
      </w:pPr>
      <w:r>
        <w:rPr>
          <w:rFonts w:eastAsia="source serif 4" w:cs="source serif 4" w:ascii="source serif 4" w:hAnsi="source serif 4"/>
          <w:color w:val="000000"/>
        </w:rPr>
        <w:t xml:space="preserve">12.1：Sketchpad操作照片、施乐Alto界面、Macintosh 128K与MacPaint屏幕；12.2：《埃米格雷》早期封面、PageMaker界面、《Ray Gun》版面；12.3：Emperor位图字体样张、Verdana屏幕渲染对比、贝塞尔曲线字形编辑界面；12.4：CATIA曲面模型、SLA-1原型机；12.5：iMac G3、iPod第一代、诺基亚3310；中国栏：华光系统样张、《经济日报》1987年告别铅字版面、方正字库样张。</w:t>
      </w:r>
    </w:p>
    <w:p>
      <w:pPr>
        <w:spacing w:line="360" w:before="315" w:after="105" w:lineRule="auto"/>
        <w:ind w:left="-30"/>
        <w:jc w:val="left"/>
      </w:pPr>
      <w:bookmarkStart w:id="12" w:name="五_编写依据说明"/>
      <w:r>
        <w:rPr>
          <w:rFonts w:eastAsia="source serif 4" w:cs="source serif 4" w:ascii="source serif 4" w:hAnsi="source serif 4"/>
          <w:b/>
          <w:color w:val="000000"/>
          <w:sz w:val="24"/>
        </w:rPr>
        <w:t xml:space="preserve">五、编写依据说明</w:t>
      </w:r>
      <w:bookmarkEnd w:id="12"/>
    </w:p>
    <w:p>
      <w:pPr>
        <w:spacing w:line="360" w:after="210" w:lineRule="auto"/>
      </w:pPr>
      <w:r>
        <w:rPr>
          <w:rFonts w:eastAsia="source serif 4" w:cs="source serif 4" w:ascii="source serif 4" w:hAnsi="source serif 4"/>
          <w:color w:val="000000"/>
        </w:rPr>
        <w:t xml:space="preserve">早期计算机采用计算机历史博物馆（CHM）藏品与口述史、MIT与SRI档案、施乐PARC文献；桌面出版采用Adobe与Aldus企业档案、《埃米格雷》各期与Letterform Archive资料；字体采用Linotype与Monotype档案、Emigre Fonts、微软字体项目文献；CAD采用Autodesk与Dassault企业史、3D Systems专利；产品采用苹果、索尼与诺基亚企业档案与设计博物馆藏品；中国栏采用北京大学计算机研究所王选档案、方正集团史料、《经济日报》报史与北京新华字模厂资料。引文与年份须对应原始出处，不以概括性网页替代。</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2026-10-13T14:45:18.144Z</dcterms:created>
  <dcterms:modified xsi:type="dcterms:W3CDTF">2026-10-13T14:45:18.144Z</dcterms:modified>
</cp:coreProperties>
</file>