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现当代设计史_第十章写作内容框架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《现当代设计史》第十章写作内容框架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章题：第十章　后现代主义与设计观念的转变。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依据：对话上传的修订版目录；体例同第四至九章——每节先列时段、论点、接口，再按七个维度写案例内容；设计师身份随案例交代，不单列；不编排详细小结、自然段、字数，不设“待补与待核”栏目。案例范围为写作规划，不代表每个细节均已完成原始史料核验。</w:t>
      </w:r>
    </w:p>
    <w:p>
      <w:pPr>
        <w:spacing w:line="360" w:before="315" w:after="105" w:lineRule="auto"/>
        <w:ind w:left="-30"/>
        <w:jc w:val="left"/>
      </w:pPr>
      <w:bookmarkStart w:id="1" w:name="一_全章定位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一、全章定位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历史问题：1960年代起对现代主义的批评如何从理论、消费文化与实验团体三个方向展开，最终在1980年代形成被命名为“后现代主义”的设计实践，这一实践又怎样改变了设计师、企业与消费者之间的关系。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主体范围：1960—1990年前后；10.1从1960年代初的理论批评起，10.6延至1990年代初的实验平面；数字工具对平面的影响归第十二章。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结构：10.1写理论与社会批评；10.2写波普与消费文化；10.3写意大利激进设计；10.4写阿基米亚到孟菲斯的形成；10.5写后现代产品、建筑与空间；10.6写后现代视觉传播与实验设计；中国栏写香港、台湾地区的外销产品设计；观念栏综合“少即是多”到“少即是乏味”。意大利在10.3—10.5连续出现，需以“激进—先锋团体—商业化产品”三个阶段严格分段，不重复人物背景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七个维度为检查工具：作品、产品、元素、材料与技术、生产组织与设计媒介、委托与使用、观念与话语。</w:t>
      </w:r>
    </w:p>
    <w:p>
      <w:pPr>
        <w:spacing w:line="360" w:before="315" w:after="105" w:lineRule="auto"/>
        <w:ind w:left="-30"/>
        <w:jc w:val="left"/>
      </w:pPr>
      <w:bookmarkStart w:id="2" w:name="二_各节写作框架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二、各节写作框架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10_1_现代主义的危机与反思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10.1 现代主义的危机与反思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1960—1972年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对现代主义的批评同时来自建筑理论、城市社会学、消费批评与设计教育内部，它们质疑的对象是统一的“好设计”标准及其背后的专家权威。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第九章观念栏的科学化只回指；帕卡德归9.2一句；绿色与社会责任设计归11.7。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文丘里母亲住宅（1964）；普鲁伊特—伊戈住宅区爆破（1972）作为符号事件；乌尔姆设计学院关闭（1968）；1968年米兰三年展被占领。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本节以文本为主要对象，不虚构产品案例；可用1960年代“好设计”标签产品的滞销作为背景一句。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文丘里的“复杂与矛盾”：双重编码、历史引用、“装饰性棚屋”；对“少即是多”的反转在观念栏综合。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不另设技术叙事；塑料的普及与廉价化作为10.2的前提一句。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建筑学院与评论刊物（《建筑评论》《Casabella》）；乌尔姆关闭后教员的去向；设计师作为批评者与教员的身份在案例中交代。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公共住宅的居民作为被忽视的使用者；批评的受众是专业界与大学。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简·雅各布斯《美国大城市的死与生》（1961）；文丘里《建筑的复杂性与矛盾性》（1966）、《向拉斯维加斯学习》（1972）；巴帕奈克《为真实的世界设计》（1971）；班纳姆关于“第一机器时代”的论述；只记录文本与场合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bm_10_2_波普文化与设计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10.2 波普文化与设计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1956—1972年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波普把大众消费图像、廉价材料与短暂性引入设计，使“一次性”与“趣味”成为正面价值，直接对抗“好设计”的耐用与中性。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美国消费社会归9.2；意大利团体归10.3；青年文化与平面实验归10.6一句。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独立团体“这就是明天”展（伦敦，1956）；汉密尔顿拼贴《究竟是什么使今日的家庭如此不同》（1956）；伦敦卡纳比街与玛丽·奎恩特精品店（1955起）；安迪·沃霍尔的《Index Book》（1967）。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彼得·默多克纸板椅（1963）；德·帕斯等的“Blow”充气椅（1967）与“Joe”棒球手套沙发（1970）；加通的“Sacco”豆袋（1968）；潘顿椅（1967，维特拉量产）；伦敦地铁海报与唱片封面（《佩珀军士》1967）。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鲜艳色彩、放大的日常物、短暂与可弃、人体尺度的游戏化。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PVC高频焊接充气、瓦楞纸板、聚氨酯泡沫、一体注塑。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伦敦精品店与青年市场、意大利Zanotta与Poltronova等中小企业对实验设计的量产、唱片工业与杂志；设计师作为艺术团体成员、时装商人与中小企业合作者的身份在案例中交代。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青年消费者、精品店顾客、唱片购买者；企业以小批量试探市场。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汉密尔顿1957年给史密森夫妇的信中对波普的定义（“大众的、短暂的、可消费的、低成本的……”）；班纳姆关于“可弃美学”的论述；记录文本。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bm_10_3_意大利激进设计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10.3 意大利激进设计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1966—1978年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激进团体以乌托邦城市方案、反设计物件与行为把设计转为对消费社会和职业本身的批评，其成员与产业的关系决定了后来向商业化转型的路径。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10.2波普材料只回指；索特萨斯早期为奥利维蒂的工作归9.3；阿基米亚与孟菲斯归10.4。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超级工作室“连续纪念碑”（1969）与阿基佐姆“无止境城市”（1969—70）的图像方案；MoMA“意大利：新家居景观”展（1972，安布什指导）；全球工具（Global Tools，1973—75）；索特萨斯“超级盒子”（1966起）。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阿基佐姆“Mies”椅（1969）与“Superonda”沙发（1966）；超级工作室“Quaderna”桌（1970，Zanotta）；索特萨斯为Poltronova设计的“Ultrafragola”镜（1970）。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网格作为反讽、历史与民俗符号的引用、对功能的刻意悬置、图像方案多于实物。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塑料层压板、聚氨酯、摄影蒙太奇作为主要媒介。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佛罗伦萨建筑学院的学生团体（超级工作室、阿基佐姆、UFO、9999）；Poltronova、Zanotta、Gufram等愿意量产实验物的企业；《Casabella》（门迪尼主编，1970—76）作为论坛；设计师作为学生团体、杂志编辑与企业合作者的身份在案例中区分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博物馆与双年展、少数藏家与企业、以图像传播为主的专业受众。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超级工作室“反设计”宣言、门迪尼《Casabella》社论、1972年MoMA展图录中的“反设计”与“顺应设计”分类；记录文本。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bm_10_4_后现代主义设计的形成_从阿基米亚到孟菲斯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10.4 后现代主义设计的形成：从阿基米亚到孟菲斯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1976—1988年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阿基米亚把激进批评转为“平庸设计”与再设计，孟菲斯则把它转为可销售的家具系列和媒体事件，后现代设计由此获得商业形态与国际传播。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10.3只回指人物；孟菲斯对企业与建筑的后续影响归10.5；平面上的孟菲斯图案归10.6一句。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阿基米亚“Bau.Haus”系列（1979—80）；门迪尼“普鲁斯特扶手椅”（1978）与对托内特14号椅的再设计；孟菲斯1981年米兰首展（Arc'74画廊）；孟菲斯1981—88年的年度系列。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索特萨斯“卡尔顿”书架（1981）与“塔希提”灯（1981）；德·卢基“第一”椅（1983）；佐珀“贝尔艾尔”扶手椅（1982）；索特萨斯与孟菲斯为Abet Laminati设计的层压板图案。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装饰层压板的“细菌”图案、原色与粉彩并置、不对称与非功能性构件、对廉价材料的高调使用。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塑料层压板、彩色玻璃、金属管、丝网印刷；手工装配的小批量。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阿基米亚工作室（圭列罗，1976）；孟菲斯公司（索特萨斯发起，巴尔巴拉·拉迪切组织，Artemide与Abet Laminati支持）；国际成员（霍莱因、矶崎新、索登、斯特恩）；设计师作为团体成员、企业签约设计师与建筑师跨界参与的身份在案例中交代；摄影与出版（《Domus》、拉迪切《孟菲斯》1984）作为传播媒介。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画廊与藏家、时尚界（拉格斐购置孟菲斯家具）、企业以形象投资参与；大众消费主要通过图像而非购买。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门迪尼“平庸设计”（1979）；索特萨斯关于“设计是讨论生活的方式”的访谈；拉迪切《孟菲斯》对运动的自我命名；记录文本。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bm_10_5_后现代产品_建筑与空间设计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10.5 后现代产品、建筑与空间设计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1978—1992年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后现代语言被大企业、建筑业与零售空间吸收，装饰、历史引用与符号成为产品差异化和城市营销的手段。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建筑只写与设计相关的部分；美国企业形象归9.2，日本企业归11.5；解构主义建筑归11.3一句。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格雷夫斯波特兰市政厅（1982）与迪士尼公司建筑；约翰逊AT&amp;T大厦（1984）；矶崎新筑波中心（1983）；门迪尼格罗宁格博物馆（1994）只作接口一句；日本东京“Zone”商业空间与仓俣史朗的室内（1980年代）。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格雷夫斯为Alessi设计的鸣鸟水壶（1985）；罗西“La Conica”咖啡壶（1984）；斯塔克为Alessi的“Juicy Salif”榨汁机（1990）；Swatch手表（1983）与艺术家系列；仓俣“How High the Moon”椅（1986）。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历史建筑母题缩小为产品符号、色彩与拟人化、明星设计师署名作为商品属性。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不锈钢与彩色塑料部件、冲压网状金属、塑料表壳的低成本高变化。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Alessi的“茶与咖啡广场”计划（1979—83，门迪尼策划）作为企业与建筑师合作的典型；Swatch的塑料手表与季度换款；建筑事务所进入产品设计；设计师作为企业签名作者与建筑师跨界者的身份在案例中交代。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大企业与市政、博物馆商店与百货公司、新中产对“设计物”的收藏性购买。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詹克斯《后现代建筑语言》（1977）对“双重编码”的定义；阿尔贝托·阿莱西关于“设计工厂”的论述；记录文本。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bm_10_6_后现代视觉传播与实验设计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10.6 后现代视觉传播与实验设计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1964—1992年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平面设计对瑞士国际主义的反叛经历了迷幻与反文化、“新浪潮”与解构实验三个阶段，在1980年代末与数字工具相遇前已形成完整的反规则语言。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9.4瑞士体系只回指；Macintosh与桌面出版归12.2，埃米格雷字体的数字制作归12.3；本节止于1990年前后的实验。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旧金山迷幻海报（威尔逊、莫斯科索，1966—68）；丹·弗里德曼与魏因加特的巴塞尔实验排版（1970年代）；格雷曼与奥德里奇“加州新浪潮”海报（1979）；克兰布鲁克学院麦科伊时期学生作品（1980年代）；布罗迪《The Face》杂志版式（1981—86）；《埃米格雷》杂志（1984起）作为接口。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音乐海报、杂志、唱片封面、学院出版物；慕尼黑1972年奥运图标（艾歇尔）作为瑞士体系“最后的完整系统”对照一句。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迷幻的可读性破坏；新浪潮的层叠、斜置、字距变化与拼贴；解构的文本分层与“读者参与”；孟菲斯图案进入平面一句。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丝网印刷、照相排版的变形能力、复印机与拼贴、早期计算机图像（格雷曼1986年《Design Quarterly》133期海报）。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巴塞尔设计学校魏因加特课程、克兰布鲁克研究生项目；独立音乐与青年杂志的委托；设计师作为学院教员、独立工作室与杂志艺术总监的身份在案例中交代。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音乐产业与青年文化、杂志读者、学院与专业界。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魏因加特关于“瑞士排版已不再活泼”的论述；麦科伊“设计是话语”；《埃米格雷》早期社论；德里达理论在克兰布鲁克的引用只记出处；分析归观念栏。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中国_香港_台湾地区的外销产品设计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中国：香港、台湾地区的外销产品设计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1960—1990年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香港与台湾的制造业以代工为起点进入全球消费品市场，设计职能先附属于订单与仿制，再通过自有品牌、设计教育和政府推广机构逐步独立。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内地1949—78归第九章中国栏；1978年后内地及港台与珠三角的关系归第十一章中国栏；平面与香港设计师在11.6一句。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香港“红A”塑料制品（星光实业，1950年代起）与红白蓝编织袋；香港玩具业的代工产品（1970年代成为全球最大玩具出口地）；台湾大同电锅（1960）与大同宝宝（1969）；台湾“宏碁”早期个人电脑（1980年代）作为接口一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塑料家居用品、玩具、电子表与计算器、收音机与电视机外壳、自行车（捷安特1972起）。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代工产品的“无来源”外观；本地品牌的拟人化吉祥物与朴素功能形；塑料色彩的本地化。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注塑塑料、电子装配、OEM生产线对设计的限定。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香港理工学院设计系（1964起）与香港设计师协会（1972）；台湾外贸协会设计推广中心（1979）与“优良设计”选拔；日本与美国订单下的OEM—ODM转变；设计者作为工厂制图员、品牌内部设计师与海外买家派驻人员的身份在案例中交代；石汉瑞等外籍设计师在香港的企业形象工作一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欧美与日本买家、本地家庭、政府出口推广机构。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台湾“全面提高产品品质”运动与设计推广文件；香港贸易发展局的“香港设计”宣传；记录文本。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观念_从_少即是多_到_少即是乏味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观念：从“少即是多”到“少即是乏味”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核心问题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当设计不再以功能与中性为唯一标准，意义、符号与趣味以何种方式重新进入设计，设计师与使用者的关系随之发生了什么变化？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分析材料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10.1文丘里的反转与雅各布斯、巴帕奈克的批评；10.2波普的“可弃美学”；10.3反设计；10.4阿基米亚“平庸设计”与孟菲斯的商业化；10.5企业对后现代语言的吸收；10.6平面的“设计是话语”；中国栏代工产品的“无作者”状态作为对照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分析任务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区分后现代批评的三种来源（理论、消费文化、团体实验）及其不同去向；指出“少即是乏味”作为口号的来源与简化风险；说明后现代设计既是对权威的批评也是新的作者崇拜（签名产品）；比较激进批评被企业吸收的机制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表述限制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不把现代主义一概写成已被取代；不把后现代等同于装饰复辟或单纯的商业策略；不把中国栏的代工写成“无设计”。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接第九章观念栏的科学化；向第十一章观念栏全球化与第十二章观念栏工具与职业重组开放。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1" w:name="三_重复与跨章审查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三、重复与跨章审查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对象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索特萨斯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9.3奥利维蒂（Valentine 1969归此）；10.3超级盒子与Poltronova；10.4孟菲斯；不在三处重复生平。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门迪尼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10.3《Casabella》编辑；10.4阿基米亚与再设计；10.5 Alessi策划与格罗宁格一句。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乌尔姆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9.3持有；10.1只写关闭与去向。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波普材料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10.2持有充气与塑料；10.3不重述。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Alessi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10.5持有；11.3写1990年代后的发展。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瑞士体系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9.4持有；10.6以艾歇尔1972为对照一句，不重述网格。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克兰布鲁克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6.3战前教育；10.6麦科伊时期；不重复校史。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《埃米格雷》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10.6只作接口；12.3持有数字字体。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巴帕奈克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10.1记录文本；11.7持有社会责任设计。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港台设计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本章中国栏持有1960—90；第十一章中国栏写与内地制造的关系。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2" w:name="四_图像材料选择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四、图像材料选择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10.1：母亲住宅、普鲁伊特—伊戈爆破照片；10.2：汉密尔顿拼贴、Blow充气椅、潘顿椅；10.3：“连续纪念碑”蒙太奇、Quaderna桌；10.4：卡尔顿书架、普鲁斯特扶手椅、1981年首展现场；10.5：波特兰市政厅、鸣鸟水壶、Swatch；10.6：迷幻海报、格雷曼1986年海报、《The Face》版面；中国栏：红A制品、大同电锅与大同宝宝。</w:t>
      </w:r>
    </w:p>
    <w:p>
      <w:pPr>
        <w:spacing w:line="360" w:before="315" w:after="105" w:lineRule="auto"/>
        <w:ind w:left="-30"/>
        <w:jc w:val="left"/>
      </w:pPr>
      <w:bookmarkStart w:id="13" w:name="五_编写依据说明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五、编写依据说明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文丘里与建筑理论采用原著初版与宾大建筑档案；波普采用泰特与V&amp;A“这就是明天”资料、维特拉设计博物馆藏品；意大利采用MoMA 1972年展图录、超级工作室与阿基佐姆档案、孟菲斯官方档案与拉迪切1984年专著；Alessi与Swatch采用企业档案；平面采用克兰布鲁克学院档案、格雷曼与魏因加特作品集、《埃米格雷》早期各期；港台采用香港历史博物馆“香港制造”资料、香港理工大学设计学院院史、台湾设计研究院前身档案与大同公司厂史。引文与年份须对应原始出处，不以概括性网页替代。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2026-10-13T14:30:46.368Z</dcterms:created>
  <dcterms:modified xsi:type="dcterms:W3CDTF">2026-10-13T14:30:46.368Z</dcterms:modified>
</cp:coreProperties>
</file>