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Heading1"/>
      </w:pPr>
      <w:r>
        <w:t>Fixture Agreement</w:t>
      </w:r>
    </w:p>
    <w:p>
      <w:r>
        <w:t>This fixture carries the distinctive word ZEBRAFIXTUREDOC for extraction testing.</w:t>
      </w:r>
    </w:p>
    <w:p>
      <w:r>
        <w:t>Royalty of Rs 310 per tonne, payable quarterly.</w:t>
      </w:r>
    </w:p>
    <w:tbl>
      <w:tblPr>
        <w:tblW w:type="auto" w:w="0"/>
        <w:tblLook w:firstColumn="1" w:firstRow="1" w:lastColumn="0" w:lastRow="0" w:noHBand="0" w:noVBand="1" w:val="04A0"/>
      </w:tblPr>
      <w:tblGrid>
        <w:gridCol w:w="4320"/>
        <w:gridCol w:w="4320"/>
      </w:tblGrid>
      <w:tr>
        <w:tc>
          <w:tcPr>
            <w:tcW w:type="dxa" w:w="4320"/>
          </w:tcPr>
          <w:p>
            <w:r>
              <w:t>Party</w:t>
            </w:r>
          </w:p>
        </w:tc>
        <w:tc>
          <w:tcPr>
            <w:tcW w:type="dxa" w:w="4320"/>
          </w:tcPr>
          <w:p>
            <w:r>
              <w:t>Kankar Mines</w:t>
            </w:r>
          </w:p>
        </w:tc>
      </w:tr>
      <w:tr>
        <w:tc>
          <w:tcPr>
            <w:tcW w:type="dxa" w:w="4320"/>
          </w:tcPr>
          <w:p>
            <w:r>
              <w:t>Term</w:t>
            </w:r>
          </w:p>
        </w:tc>
        <w:tc>
          <w:tcPr>
            <w:tcW w:type="dxa" w:w="4320"/>
          </w:tcPr>
          <w:p>
            <w:r>
              <w:t>Ninety days</w:t>
            </w:r>
          </w:p>
        </w:tc>
      </w:tr>
    </w:tbl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