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01696F"/>
          <w:sz w:val="56"/>
          <w:szCs w:val="56"/>
        </w:rPr>
        <w:t xml:space="preserve">FieldIQ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8251D"/>
          <w:sz w:val="36"/>
          <w:szCs w:val="36"/>
        </w:rPr>
        <w:t xml:space="preserve">Infrastructure Cost Estimate</w:t>
      </w:r>
    </w:p>
    <w:p>
      <w:pPr>
        <w:spacing w:after="480" w:before="0"/>
      </w:pPr>
      <w:r>
        <w:rPr>
          <w:rFonts w:ascii="Calibri" w:cs="Calibri" w:eastAsia="Calibri" w:hAnsi="Calibri"/>
          <w:i/>
          <w:iCs/>
          <w:color w:val="7A7974"/>
          <w:sz w:val="22"/>
          <w:szCs w:val="22"/>
        </w:rPr>
        <w:t xml:space="preserve">10 companies · 5 users each · 5 projects average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7A7974"/>
          <w:sz w:val="20"/>
          <w:szCs w:val="20"/>
        </w:rPr>
        <w:t xml:space="preserve">Prepared April 24,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At a glance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For a workload of 10 customer organizations, 50 total users, and roughly 50 jobsites, FieldIQ's current stack fits inside the entry-level paid tiers of every provider. Two configurations are shown: a lean setup that runs on included quotas, and a comfort setup that buys headroom and dedicated compute for predictable latency.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Headline numbers</w:t>
      </w:r>
    </w:p>
    <w:tbl>
      <w:tblPr>
        <w:tblW w:type="dxa" w:w="9000"/>
        <w:tblBorders>
          <w:top w:val="single" w:color="D4D1CA" w:sz="4"/>
          <w:left w:val="none" w:color="D4D1CA" w:sz="0"/>
          <w:bottom w:val="single" w:color="D4D1CA" w:sz="4"/>
          <w:right w:val="none" w:color="D4D1CA" w:sz="0"/>
          <w:insideH w:val="single" w:color="D4D1CA" w:sz="2"/>
          <w:insideV w:val="none" w:color="D4D1CA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28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55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55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155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 org / mo</w:t>
            </w:r>
          </w:p>
        </w:tc>
        <w:tc>
          <w:tcPr>
            <w:tcW w:type="dxa" w:w="155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 user / mo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Lean</w:t>
            </w:r>
          </w:p>
        </w:tc>
        <w:tc>
          <w:tcPr>
            <w:tcW w:type="dxa" w:w="15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$78.50</w:t>
            </w:r>
          </w:p>
        </w:tc>
        <w:tc>
          <w:tcPr>
            <w:tcW w:type="dxa" w:w="15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$942.00</w:t>
            </w:r>
          </w:p>
        </w:tc>
        <w:tc>
          <w:tcPr>
            <w:tcW w:type="dxa" w:w="15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$7.85</w:t>
            </w:r>
          </w:p>
        </w:tc>
        <w:tc>
          <w:tcPr>
            <w:tcW w:type="dxa" w:w="155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$1.57</w:t>
            </w:r>
          </w:p>
        </w:tc>
      </w:tr>
      <w:tr>
        <w:trPr>
          <w:cantSplit/>
        </w:trPr>
        <w:tc>
          <w:tcPr>
            <w:tcW w:type="dxa" w:w="28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Comfort</w:t>
            </w:r>
          </w:p>
        </w:tc>
        <w:tc>
          <w:tcPr>
            <w:tcW w:type="dxa" w:w="155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$258.50</w:t>
            </w:r>
          </w:p>
        </w:tc>
        <w:tc>
          <w:tcPr>
            <w:tcW w:type="dxa" w:w="155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$3,102.00</w:t>
            </w:r>
          </w:p>
        </w:tc>
        <w:tc>
          <w:tcPr>
            <w:tcW w:type="dxa" w:w="155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$25.85</w:t>
            </w:r>
          </w:p>
        </w:tc>
        <w:tc>
          <w:tcPr>
            <w:tcW w:type="dxa" w:w="155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$5.17</w:t>
            </w:r>
          </w:p>
        </w:tc>
      </w:tr>
    </w:tbl>
    <w:p>
      <w:pPr>
        <w:spacing w:before="180"/>
      </w:pP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Both configs assume the current architecture — one shared Supabase project with row-level security (RLS) isolating orgs, one Cloudflare Workers deployment serving the dashboard, and one Expo mobile app shared across all customers.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Workload assumptions</w:t>
      </w:r>
    </w:p>
    <w:tbl>
      <w:tblPr>
        <w:tblW w:type="dxa" w:w="9000"/>
        <w:tblBorders>
          <w:top w:val="single" w:color="D4D1CA" w:sz="4"/>
          <w:left w:val="none" w:color="D4D1CA" w:sz="0"/>
          <w:bottom w:val="single" w:color="D4D1CA" w:sz="4"/>
          <w:right w:val="none" w:color="D4D1CA" w:sz="0"/>
          <w:insideH w:val="single" w:color="D4D1CA" w:sz="2"/>
          <w:insideV w:val="none" w:color="D4D1CA" w:sz="0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0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Customer orgs</w:t>
            </w:r>
          </w:p>
        </w:tc>
        <w:tc>
          <w:tcPr>
            <w:tcW w:type="dxa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Multi-tenant via organizations table + RLS</w:t>
            </w:r>
          </w:p>
        </w:tc>
      </w:tr>
      <w:tr>
        <w:trPr>
          <w:cantSplit/>
        </w:trPr>
        <w:tc>
          <w:tcPr>
            <w:tcW w:type="dxa" w:w="2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Users per org</w:t>
            </w:r>
          </w:p>
        </w:tc>
        <w:tc>
          <w:tcPr>
            <w:tcW w:type="dxa" w:w="1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50 total active users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Projects / jobsites avg</w:t>
            </w:r>
          </w:p>
        </w:tc>
        <w:tc>
          <w:tcPr>
            <w:tcW w:type="dxa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 per org</w:t>
            </w:r>
          </w:p>
        </w:tc>
        <w:tc>
          <w:tcPr>
            <w:tcW w:type="dxa" w:w="5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~50 total sites with geofences</w:t>
            </w:r>
          </w:p>
        </w:tc>
      </w:tr>
      <w:tr>
        <w:trPr>
          <w:cantSplit/>
        </w:trPr>
        <w:tc>
          <w:tcPr>
            <w:tcW w:type="dxa" w:w="2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Service orders / month</w:t>
            </w:r>
          </w:p>
        </w:tc>
        <w:tc>
          <w:tcPr>
            <w:tcW w:type="dxa" w:w="1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~500</w:t>
            </w:r>
          </w:p>
        </w:tc>
        <w:tc>
          <w:tcPr>
            <w:tcW w:type="dxa" w:w="5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10 per site / mo — conservative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Clock events / month</w:t>
            </w:r>
          </w:p>
        </w:tc>
        <w:tc>
          <w:tcPr>
            <w:tcW w:type="dxa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~6,000</w:t>
            </w:r>
          </w:p>
        </w:tc>
        <w:tc>
          <w:tcPr>
            <w:tcW w:type="dxa" w:w="5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~3 enter + 3 exit per user per workday</w:t>
            </w:r>
          </w:p>
        </w:tc>
      </w:tr>
      <w:tr>
        <w:trPr>
          <w:cantSplit/>
        </w:trPr>
        <w:tc>
          <w:tcPr>
            <w:tcW w:type="dxa" w:w="2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Dashboard page loads</w:t>
            </w:r>
          </w:p>
        </w:tc>
        <w:tc>
          <w:tcPr>
            <w:tcW w:type="dxa" w:w="1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~150k / mo</w:t>
            </w:r>
          </w:p>
        </w:tc>
        <w:tc>
          <w:tcPr>
            <w:tcW w:type="dxa" w:w="5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 users × ~100/day × 30 days × 10 orgs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Mobile API calls</w:t>
            </w:r>
          </w:p>
        </w:tc>
        <w:tc>
          <w:tcPr>
            <w:tcW w:type="dxa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~500k / mo</w:t>
            </w:r>
          </w:p>
        </w:tc>
        <w:tc>
          <w:tcPr>
            <w:tcW w:type="dxa" w:w="5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polling sites, orders, session, events</w:t>
            </w:r>
          </w:p>
        </w:tc>
      </w:tr>
      <w:tr>
        <w:trPr>
          <w:cantSplit/>
        </w:trPr>
        <w:tc>
          <w:tcPr>
            <w:tcW w:type="dxa" w:w="2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Transactional emails</w:t>
            </w:r>
          </w:p>
        </w:tc>
        <w:tc>
          <w:tcPr>
            <w:tcW w:type="dxa" w:w="1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~1,000 / mo</w:t>
            </w:r>
          </w:p>
        </w:tc>
        <w:tc>
          <w:tcPr>
            <w:tcW w:type="dxa" w:w="5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invites, password resets, order notifications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Mobile MAUs</w:t>
            </w:r>
          </w:p>
        </w:tc>
        <w:tc>
          <w:tcPr>
            <w:tcW w:type="dxa" w:w="1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50</w:t>
            </w:r>
          </w:p>
        </w:tc>
        <w:tc>
          <w:tcPr>
            <w:tcW w:type="dxa" w:w="5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Expo tracks distinct installs per month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Service-by-service breakdown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Supabase — database, auth, storage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Single Pro project. Every table carries an org_id and RLS policies lock rows to the active org, so one project serves all 10 customers safely.</w:t>
      </w:r>
    </w:p>
    <w:tbl>
      <w:tblPr>
        <w:tblW w:type="dxa" w:w="9000"/>
        <w:tblBorders>
          <w:top w:val="single" w:color="D4D1CA" w:sz="4"/>
          <w:left w:val="none" w:color="D4D1CA" w:sz="0"/>
          <w:bottom w:val="single" w:color="D4D1CA" w:sz="4"/>
          <w:right w:val="none" w:color="D4D1CA" w:sz="0"/>
          <w:insideH w:val="single" w:color="D4D1CA" w:sz="2"/>
          <w:insideV w:val="none" w:color="D4D1CA" w:sz="0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8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Included in Pro ($25/mo)</w:t>
            </w:r>
          </w:p>
        </w:tc>
        <w:tc>
          <w:tcPr>
            <w:tcW w:type="dxa" w:w="25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estimated usage</w:t>
            </w:r>
          </w:p>
        </w:tc>
        <w:tc>
          <w:tcPr>
            <w:tcW w:type="dxa" w:w="37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Headroom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8 GB database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&lt;&lt; 1 GB</w:t>
            </w:r>
          </w:p>
        </w:tc>
        <w:tc>
          <w:tcPr>
            <w:tcW w:type="dxa" w:w="37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Plenty</w:t>
            </w:r>
          </w:p>
        </w:tc>
      </w:tr>
      <w:tr>
        <w:trPr>
          <w:cantSplit/>
        </w:trPr>
        <w:tc>
          <w:tcPr>
            <w:tcW w:type="dxa" w:w="28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100k monthly active users</w:t>
            </w:r>
          </w:p>
        </w:tc>
        <w:tc>
          <w:tcPr>
            <w:tcW w:type="dxa" w:w="2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50 MAU</w:t>
            </w:r>
          </w:p>
        </w:tc>
        <w:tc>
          <w:tcPr>
            <w:tcW w:type="dxa" w:w="37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2000x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250 GB egress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~5 GB</w:t>
            </w:r>
          </w:p>
        </w:tc>
        <w:tc>
          <w:tcPr>
            <w:tcW w:type="dxa" w:w="37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50x</w:t>
            </w:r>
          </w:p>
        </w:tc>
      </w:tr>
      <w:tr>
        <w:trPr>
          <w:cantSplit/>
        </w:trPr>
        <w:tc>
          <w:tcPr>
            <w:tcW w:type="dxa" w:w="28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100 GB file storage</w:t>
            </w:r>
          </w:p>
        </w:tc>
        <w:tc>
          <w:tcPr>
            <w:tcW w:type="dxa" w:w="2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~1 GB (photos)</w:t>
            </w:r>
          </w:p>
        </w:tc>
        <w:tc>
          <w:tcPr>
            <w:tcW w:type="dxa" w:w="37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100x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2M edge function invocations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~0</w:t>
            </w:r>
          </w:p>
        </w:tc>
        <w:tc>
          <w:tcPr>
            <w:tcW w:type="dxa" w:w="37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N/A — none used yet</w:t>
            </w:r>
          </w:p>
        </w:tc>
      </w:tr>
      <w:tr>
        <w:trPr>
          <w:cantSplit/>
        </w:trPr>
        <w:tc>
          <w:tcPr>
            <w:tcW w:type="dxa" w:w="28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$10 compute credit (Micro)</w:t>
            </w:r>
          </w:p>
        </w:tc>
        <w:tc>
          <w:tcPr>
            <w:tcW w:type="dxa" w:w="2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Micro is fine for 50 users</w:t>
            </w:r>
          </w:p>
        </w:tc>
        <w:tc>
          <w:tcPr>
            <w:tcW w:type="dxa" w:w="37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Upgrade to Large ($100 net) only if latency gets mushy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Daily backups, 7-day retention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Included</w:t>
            </w:r>
          </w:p>
        </w:tc>
        <w:tc>
          <w:tcPr>
            <w:tcW w:type="dxa" w:w="37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Good</w:t>
            </w:r>
          </w:p>
        </w:tc>
      </w:tr>
    </w:tbl>
    <w:p>
      <w:pPr>
        <w:spacing w:before="120"/>
      </w:pP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7A7974"/>
          <w:sz w:val="20"/>
          <w:szCs w:val="20"/>
        </w:rPr>
        <w:t xml:space="preserve">Verdict: $25/mo is enough. Consider the Large compute add-on (+$100 net of credit) if the dashboard starts feeling slow under load, but you won't need it for a long time at this scale. Source: </w:t>
      </w: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[Supabase Pro pricing – supabase.com/pricing]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Cloudflare Workers — dashboard hosting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The dashboard (wrk.fldiq.com) runs as a Next.js app on Cloudflare Workers via the OpenNext adapter. The marketing site (fldiq.com) is static and free.</w:t>
      </w:r>
    </w:p>
    <w:tbl>
      <w:tblPr>
        <w:tblW w:type="dxa" w:w="9000"/>
        <w:tblBorders>
          <w:top w:val="single" w:color="D4D1CA" w:sz="4"/>
          <w:left w:val="none" w:color="D4D1CA" w:sz="0"/>
          <w:bottom w:val="single" w:color="D4D1CA" w:sz="4"/>
          <w:right w:val="none" w:color="D4D1CA" w:sz="0"/>
          <w:insideH w:val="single" w:color="D4D1CA" w:sz="2"/>
          <w:insideV w:val="none" w:color="D4D1CA" w:sz="0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8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Included in Workers Paid ($5/mo)</w:t>
            </w:r>
          </w:p>
        </w:tc>
        <w:tc>
          <w:tcPr>
            <w:tcW w:type="dxa" w:w="25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estimated usage</w:t>
            </w:r>
          </w:p>
        </w:tc>
        <w:tc>
          <w:tcPr>
            <w:tcW w:type="dxa" w:w="37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Headroom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10M requests / month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~1.5M requests</w:t>
            </w:r>
          </w:p>
        </w:tc>
        <w:tc>
          <w:tcPr>
            <w:tcW w:type="dxa" w:w="37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6x</w:t>
            </w:r>
          </w:p>
        </w:tc>
      </w:tr>
      <w:tr>
        <w:trPr>
          <w:cantSplit/>
        </w:trPr>
        <w:tc>
          <w:tcPr>
            <w:tcW w:type="dxa" w:w="28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30M CPU-ms / month</w:t>
            </w:r>
          </w:p>
        </w:tc>
        <w:tc>
          <w:tcPr>
            <w:tcW w:type="dxa" w:w="2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~30M (Next.js SSR ~20ms)</w:t>
            </w:r>
          </w:p>
        </w:tc>
        <w:tc>
          <w:tcPr>
            <w:tcW w:type="dxa" w:w="37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At the line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 bandwidth charges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unlimited egress</w:t>
            </w:r>
          </w:p>
        </w:tc>
        <w:tc>
          <w:tcPr>
            <w:tcW w:type="dxa" w:w="37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Nice</w:t>
            </w:r>
          </w:p>
        </w:tc>
      </w:tr>
      <w:tr>
        <w:trPr>
          <w:cantSplit/>
        </w:trPr>
        <w:tc>
          <w:tcPr>
            <w:tcW w:type="dxa" w:w="28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Pages builds (unlimited)</w:t>
            </w:r>
          </w:p>
        </w:tc>
        <w:tc>
          <w:tcPr>
            <w:tcW w:type="dxa" w:w="2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auto-deploy from main</w:t>
            </w:r>
          </w:p>
        </w:tc>
        <w:tc>
          <w:tcPr>
            <w:tcW w:type="dxa" w:w="37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Included</w:t>
            </w:r>
          </w:p>
        </w:tc>
      </w:tr>
    </w:tbl>
    <w:p>
      <w:pPr>
        <w:spacing w:before="120"/>
      </w:pP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7A7974"/>
          <w:sz w:val="20"/>
          <w:szCs w:val="20"/>
        </w:rPr>
        <w:t xml:space="preserve">Verdict: $5/mo. CPU is the one metric to watch — if SSR pages grow heavier, overage is $0.02 per extra million CPU-ms, which is $2 for every extra 100M ms. Source:</w:t>
      </w: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[Cloudflare Workers pricing – developers.cloudflare.com/workers/platform/pricing]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Expo EAS — mobile builds and OTA updates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EAS Starter covers everything needed for a 50-MAU iOS/Android app. Production ($99) is only worth it when you either exceed 3,000 MAUs or need 2 parallel builds / SSO.</w:t>
      </w:r>
    </w:p>
    <w:tbl>
      <w:tblPr>
        <w:tblW w:type="dxa" w:w="9000"/>
        <w:tblBorders>
          <w:top w:val="single" w:color="D4D1CA" w:sz="4"/>
          <w:left w:val="none" w:color="D4D1CA" w:sz="0"/>
          <w:bottom w:val="single" w:color="D4D1CA" w:sz="4"/>
          <w:right w:val="none" w:color="D4D1CA" w:sz="0"/>
          <w:insideH w:val="single" w:color="D4D1CA" w:sz="2"/>
          <w:insideV w:val="none" w:color="D4D1CA" w:sz="0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8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Included in Starter ($19/mo)</w:t>
            </w:r>
          </w:p>
        </w:tc>
        <w:tc>
          <w:tcPr>
            <w:tcW w:type="dxa" w:w="25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estimated usage</w:t>
            </w:r>
          </w:p>
        </w:tc>
        <w:tc>
          <w:tcPr>
            <w:tcW w:type="dxa" w:w="37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Headroom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$45 build credit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~$8-16/mo (2-4 builds)</w:t>
            </w:r>
          </w:p>
        </w:tc>
        <w:tc>
          <w:tcPr>
            <w:tcW w:type="dxa" w:w="37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~3x</w:t>
            </w:r>
          </w:p>
        </w:tc>
      </w:tr>
      <w:tr>
        <w:trPr>
          <w:cantSplit/>
        </w:trPr>
        <w:tc>
          <w:tcPr>
            <w:tcW w:type="dxa" w:w="28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3,000 MAU</w:t>
            </w:r>
          </w:p>
        </w:tc>
        <w:tc>
          <w:tcPr>
            <w:tcW w:type="dxa" w:w="2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50 MAU</w:t>
            </w:r>
          </w:p>
        </w:tc>
        <w:tc>
          <w:tcPr>
            <w:tcW w:type="dxa" w:w="37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60x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500 GiB OTA bandwidth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~1-2 GiB</w:t>
            </w:r>
          </w:p>
        </w:tc>
        <w:tc>
          <w:tcPr>
            <w:tcW w:type="dxa" w:w="37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~250x</w:t>
            </w:r>
          </w:p>
        </w:tc>
      </w:tr>
      <w:tr>
        <w:trPr>
          <w:cantSplit/>
        </w:trPr>
        <w:tc>
          <w:tcPr>
            <w:tcW w:type="dxa" w:w="28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High-priority build queue</w:t>
            </w:r>
          </w:p>
        </w:tc>
        <w:tc>
          <w:tcPr>
            <w:tcW w:type="dxa" w:w="2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used every release</w:t>
            </w:r>
          </w:p>
        </w:tc>
        <w:tc>
          <w:tcPr>
            <w:tcW w:type="dxa" w:w="37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 build concurrency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fine (solo developer)</w:t>
            </w:r>
          </w:p>
        </w:tc>
        <w:tc>
          <w:tcPr>
            <w:tcW w:type="dxa" w:w="37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Add $50/mo if you want a 2nd</w:t>
            </w:r>
          </w:p>
        </w:tc>
      </w:tr>
    </w:tbl>
    <w:p>
      <w:pPr>
        <w:spacing w:before="120"/>
      </w:pP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7A7974"/>
          <w:sz w:val="20"/>
          <w:szCs w:val="20"/>
        </w:rPr>
        <w:t xml:space="preserve">Verdict: $19/mo. Bump to Production ($99) only when MAU crosses 3,000 or the team grows past a solo builder. Source:</w:t>
      </w: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[EAS pricing – expo.dev/pricing]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Resend — transactional email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Needed for magic-link auth, invites, password resets, order notifications, technician assignments. The Free tier's 100/day cap makes it risky in production — a single busy morning of invites can silently queue or drop.</w:t>
      </w:r>
    </w:p>
    <w:tbl>
      <w:tblPr>
        <w:tblW w:type="dxa" w:w="9000"/>
        <w:tblBorders>
          <w:top w:val="single" w:color="D4D1CA" w:sz="4"/>
          <w:left w:val="none" w:color="D4D1CA" w:sz="0"/>
          <w:bottom w:val="single" w:color="D4D1CA" w:sz="4"/>
          <w:right w:val="none" w:color="D4D1CA" w:sz="0"/>
          <w:insideH w:val="single" w:color="D4D1CA" w:sz="2"/>
          <w:insideV w:val="none" w:color="D4D1CA" w:sz="0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8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Included in Pro ($20/mo)</w:t>
            </w:r>
          </w:p>
        </w:tc>
        <w:tc>
          <w:tcPr>
            <w:tcW w:type="dxa" w:w="25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estimated usage</w:t>
            </w:r>
          </w:p>
        </w:tc>
        <w:tc>
          <w:tcPr>
            <w:tcW w:type="dxa" w:w="37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Headroom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50,000 emails / month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~1,000 / mo</w:t>
            </w:r>
          </w:p>
        </w:tc>
        <w:tc>
          <w:tcPr>
            <w:tcW w:type="dxa" w:w="37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50x</w:t>
            </w:r>
          </w:p>
        </w:tc>
      </w:tr>
      <w:tr>
        <w:trPr>
          <w:cantSplit/>
        </w:trPr>
        <w:tc>
          <w:tcPr>
            <w:tcW w:type="dxa" w:w="28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 daily cap</w:t>
            </w:r>
          </w:p>
        </w:tc>
        <w:tc>
          <w:tcPr>
            <w:tcW w:type="dxa" w:w="2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safe for spikes</w:t>
            </w:r>
          </w:p>
        </w:tc>
        <w:tc>
          <w:tcPr>
            <w:tcW w:type="dxa" w:w="37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10 sending domains</w:t>
            </w:r>
          </w:p>
        </w:tc>
        <w:tc>
          <w:tcPr>
            <w:tcW w:type="dxa" w:w="2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 used (fldiq.com)</w:t>
            </w:r>
          </w:p>
        </w:tc>
        <w:tc>
          <w:tcPr>
            <w:tcW w:type="dxa" w:w="37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Room for white-labeling per org later</w:t>
            </w:r>
          </w:p>
        </w:tc>
      </w:tr>
      <w:tr>
        <w:trPr>
          <w:cantSplit/>
        </w:trPr>
        <w:tc>
          <w:tcPr>
            <w:tcW w:type="dxa" w:w="28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30-day log retention</w:t>
            </w:r>
          </w:p>
        </w:tc>
        <w:tc>
          <w:tcPr>
            <w:tcW w:type="dxa" w:w="25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debugging</w:t>
            </w:r>
          </w:p>
        </w:tc>
        <w:tc>
          <w:tcPr>
            <w:tcW w:type="dxa" w:w="37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Good</w:t>
            </w:r>
          </w:p>
        </w:tc>
      </w:tr>
    </w:tbl>
    <w:p>
      <w:pPr>
        <w:spacing w:before="120"/>
      </w:pP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7A7974"/>
          <w:sz w:val="20"/>
          <w:szCs w:val="20"/>
        </w:rPr>
        <w:t xml:space="preserve">Verdict: $20/mo. Free tier technically fits the volume but the 100/day cap is a production-risk ceiling. Source:</w:t>
      </w: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[Resend pricing – resend.com/pricing]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Apple Developer Program &amp; domains</w:t>
      </w:r>
    </w:p>
    <w:tbl>
      <w:tblPr>
        <w:tblW w:type="dxa" w:w="9000"/>
        <w:tblBorders>
          <w:top w:val="single" w:color="D4D1CA" w:sz="4"/>
          <w:left w:val="none" w:color="D4D1CA" w:sz="0"/>
          <w:bottom w:val="single" w:color="D4D1CA" w:sz="4"/>
          <w:right w:val="none" w:color="D4D1CA" w:sz="0"/>
          <w:insideH w:val="single" w:color="D4D1CA" w:sz="2"/>
          <w:insideV w:val="none" w:color="D4D1CA" w:sz="0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30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8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2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$99 / year ($8.25/mo)</w:t>
            </w:r>
          </w:p>
        </w:tc>
        <w:tc>
          <w:tcPr>
            <w:tcW w:type="dxa" w:w="3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Required for TestFlight + App Store distribution</w:t>
            </w:r>
          </w:p>
        </w:tc>
      </w:tr>
      <w:tr>
        <w:trPr>
          <w:cantSplit/>
        </w:trPr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Google Play Developer</w:t>
            </w:r>
          </w:p>
        </w:tc>
        <w:tc>
          <w:tcPr>
            <w:tcW w:type="dxa" w:w="22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$25 once</w:t>
            </w:r>
          </w:p>
        </w:tc>
        <w:tc>
          <w:tcPr>
            <w:tcW w:type="dxa" w:w="38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Already paid; no recurring cost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fldiq.com domain</w:t>
            </w:r>
          </w:p>
        </w:tc>
        <w:tc>
          <w:tcPr>
            <w:tcW w:type="dxa" w:w="2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~$15 / year ($1.25/mo)</w:t>
            </w:r>
          </w:p>
        </w:tc>
        <w:tc>
          <w:tcPr>
            <w:tcW w:type="dxa" w:w="38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Already owned via Cloudflare Registrar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Totals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Lean configuration — recommended now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This is what you should run on today. Fits your 10×5×5 workload with significant headroom on every axis.</w:t>
      </w:r>
    </w:p>
    <w:tbl>
      <w:tblPr>
        <w:tblW w:type="dxa" w:w="9000"/>
        <w:tblBorders>
          <w:top w:val="single" w:color="D4D1CA" w:sz="4"/>
          <w:left w:val="none" w:color="D4D1CA" w:sz="0"/>
          <w:bottom w:val="single" w:color="D4D1CA" w:sz="4"/>
          <w:right w:val="none" w:color="D4D1CA" w:sz="0"/>
          <w:insideH w:val="single" w:color="D4D1CA" w:sz="2"/>
          <w:insideV w:val="none" w:color="D4D1CA" w:sz="0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30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Pro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$25.00</w:t>
            </w:r>
          </w:p>
        </w:tc>
      </w:tr>
      <w:tr>
        <w:trPr>
          <w:cantSplit/>
        </w:trPr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Paid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$5.00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Expo EAS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Starter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$19.00</w:t>
            </w:r>
          </w:p>
        </w:tc>
      </w:tr>
      <w:tr>
        <w:trPr>
          <w:cantSplit/>
        </w:trPr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Pro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$20.00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Apple Developer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$99/yr amortized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$8.25</w:t>
            </w:r>
          </w:p>
        </w:tc>
      </w:tr>
      <w:tr>
        <w:trPr>
          <w:cantSplit/>
        </w:trPr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$1.25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$78.50</w:t>
            </w:r>
          </w:p>
        </w:tc>
      </w:tr>
    </w:tbl>
    <w:p>
      <w:pPr>
        <w:spacing w:before="80"/>
      </w:pP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Annual: $942.00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Per customer org: $7.85 / month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Per end user: $1.57 / month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Comfort configuration — when latency or polish matter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Worth the upgrade once you cross ~1,500 MAUs on mobile or the dashboard starts feeling sluggish. Adds dedicated Postgres compute and the EAS Production tier.</w:t>
      </w:r>
    </w:p>
    <w:tbl>
      <w:tblPr>
        <w:tblW w:type="dxa" w:w="9000"/>
        <w:tblBorders>
          <w:top w:val="single" w:color="D4D1CA" w:sz="4"/>
          <w:left w:val="none" w:color="D4D1CA" w:sz="0"/>
          <w:bottom w:val="single" w:color="D4D1CA" w:sz="4"/>
          <w:right w:val="none" w:color="D4D1CA" w:sz="0"/>
          <w:insideH w:val="single" w:color="D4D1CA" w:sz="2"/>
          <w:insideV w:val="none" w:color="D4D1CA" w:sz="0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30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Pro + Large compute add-on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$125.00</w:t>
            </w:r>
          </w:p>
        </w:tc>
      </w:tr>
      <w:tr>
        <w:trPr>
          <w:cantSplit/>
        </w:trPr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Paid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$5.00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Expo EAS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$99.00</w:t>
            </w:r>
          </w:p>
        </w:tc>
      </w:tr>
      <w:tr>
        <w:trPr>
          <w:cantSplit/>
        </w:trPr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Pro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$20.00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Apple Developer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$99/yr amortized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$8.25</w:t>
            </w:r>
          </w:p>
        </w:tc>
      </w:tr>
      <w:tr>
        <w:trPr>
          <w:cantSplit/>
        </w:trPr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30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$1.25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$258.50</w:t>
            </w:r>
          </w:p>
        </w:tc>
      </w:tr>
    </w:tbl>
    <w:p>
      <w:pPr>
        <w:spacing w:before="80"/>
      </w:pP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Annual: $3,102.00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Per customer org: $25.85 / month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Per end user: $5.17 / month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When each line item goes up</w:t>
      </w:r>
    </w:p>
    <w:tbl>
      <w:tblPr>
        <w:tblW w:type="dxa" w:w="9000"/>
        <w:tblBorders>
          <w:top w:val="single" w:color="D4D1CA" w:sz="4"/>
          <w:left w:val="none" w:color="D4D1CA" w:sz="0"/>
          <w:bottom w:val="single" w:color="D4D1CA" w:sz="4"/>
          <w:right w:val="none" w:color="D4D1CA" w:sz="0"/>
          <w:insideH w:val="single" w:color="D4D1CA" w:sz="2"/>
          <w:insideV w:val="none" w:color="D4D1CA" w:sz="0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4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shd w:fill="01696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cost step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Supabase compute</w:t>
            </w:r>
          </w:p>
        </w:tc>
        <w:tc>
          <w:tcPr>
            <w:tcW w:type="dxa" w:w="3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Dashboard feels slow or CPU &gt; 80%</w:t>
            </w:r>
          </w:p>
        </w:tc>
        <w:tc>
          <w:tcPr>
            <w:tcW w:type="dxa" w:w="3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+$100/mo (Large)</w:t>
            </w:r>
          </w:p>
        </w:tc>
      </w:tr>
      <w:tr>
        <w:trPr>
          <w:cantSplit/>
        </w:trPr>
        <w:tc>
          <w:tcPr>
            <w:tcW w:type="dxa" w:w="24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Supabase DB size</w:t>
            </w:r>
          </w:p>
        </w:tc>
        <w:tc>
          <w:tcPr>
            <w:tcW w:type="dxa" w:w="34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Past 8 GB of row data</w:t>
            </w:r>
          </w:p>
        </w:tc>
        <w:tc>
          <w:tcPr>
            <w:tcW w:type="dxa" w:w="32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+$0.125/GB/mo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Past 100k MAUs</w:t>
            </w:r>
          </w:p>
        </w:tc>
        <w:tc>
          <w:tcPr>
            <w:tcW w:type="dxa" w:w="3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+$0.00325/MAU/mo</w:t>
            </w:r>
          </w:p>
        </w:tc>
      </w:tr>
      <w:tr>
        <w:trPr>
          <w:cantSplit/>
        </w:trPr>
        <w:tc>
          <w:tcPr>
            <w:tcW w:type="dxa" w:w="24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Cloudflare CPU</w:t>
            </w:r>
          </w:p>
        </w:tc>
        <w:tc>
          <w:tcPr>
            <w:tcW w:type="dxa" w:w="34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Past 30M CPU-ms/mo</w:t>
            </w:r>
          </w:p>
        </w:tc>
        <w:tc>
          <w:tcPr>
            <w:tcW w:type="dxa" w:w="32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+$0.02/M CPU-ms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Cloudflare reqs</w:t>
            </w:r>
          </w:p>
        </w:tc>
        <w:tc>
          <w:tcPr>
            <w:tcW w:type="dxa" w:w="3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Past 10M/mo</w:t>
            </w:r>
          </w:p>
        </w:tc>
        <w:tc>
          <w:tcPr>
            <w:tcW w:type="dxa" w:w="3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+$0.30/M requests</w:t>
            </w:r>
          </w:p>
        </w:tc>
      </w:tr>
      <w:tr>
        <w:trPr>
          <w:cantSplit/>
        </w:trPr>
        <w:tc>
          <w:tcPr>
            <w:tcW w:type="dxa" w:w="24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EAS MAUs</w:t>
            </w:r>
          </w:p>
        </w:tc>
        <w:tc>
          <w:tcPr>
            <w:tcW w:type="dxa" w:w="34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Past 3,000 monthly installs</w:t>
            </w:r>
          </w:p>
        </w:tc>
        <w:tc>
          <w:tcPr>
            <w:tcW w:type="dxa" w:w="32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+$0.005/MAU or jump to Production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EAS concurrency</w:t>
            </w:r>
          </w:p>
        </w:tc>
        <w:tc>
          <w:tcPr>
            <w:tcW w:type="dxa" w:w="3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Want parallel builds</w:t>
            </w:r>
          </w:p>
        </w:tc>
        <w:tc>
          <w:tcPr>
            <w:tcW w:type="dxa" w:w="3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+$50/mo each</w:t>
            </w:r>
          </w:p>
        </w:tc>
      </w:tr>
      <w:tr>
        <w:trPr>
          <w:cantSplit/>
        </w:trPr>
        <w:tc>
          <w:tcPr>
            <w:tcW w:type="dxa" w:w="24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Resend volume</w:t>
            </w:r>
          </w:p>
        </w:tc>
        <w:tc>
          <w:tcPr>
            <w:tcW w:type="dxa" w:w="34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Past 100k emails/mo (unlikely)</w:t>
            </w:r>
          </w:p>
        </w:tc>
        <w:tc>
          <w:tcPr>
            <w:tcW w:type="dxa" w:w="3200"/>
            <w:shd w:fill="F9F8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Scale plan $90/mo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Architecture note — why one project scales to 10+ orgs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FieldIQ uses a single Supabase project with a multi-tenant schema. Every row in every table carries an org_id. Row-level security policies evaluate public.active_org_id() on each query, so a user in Org A physically cannot read Org B's rows — even if the client tried. This lets one $25 Supabase bill serve all 10 customers today and all 100 customers at the same price point (as long as MAUs stay under 100k and data stays under 8 GB).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Contrast: a project-per-customer model would be $25 × 10 = $250/mo just for Supabase today, with no meaningful isolation benefit.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Cloudflare Workers serves every org off the same Worker — the dashboard URL is wrk.fldiq.com for everyone, and the logged-in user's org context determines what they see. Same logic as Supabase: one deployment, N customers.</w:t>
      </w:r>
    </w:p>
    <w:p>
      <w:pPr>
        <w:spacing w:after="60" w:before="6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The mobile app is a single binary on iOS and Android. Branding per-org is possible later via runtime theming without a separate build.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Not included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Your own labor. This is infra only.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Stripe / payment processing fees (2.9% + 30¢ per charge if you bill customers via card).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App Store or Play Store commission (15–30% on in-app purchases — irrelevant for a B2B SaaS billed outside the app).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Error monitoring (Sentry, etc.) — Free tier generally covers 50 users.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Marketing tooling (analytics, CRM, etc.).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Nominatim for geocoding — free under their usage policy at this scale, but consider Google Maps Geocoding or Mapbox ($0.50–$5/1k requests) if volume grows or Nominatim rate-limits you.</w:t>
      </w:r>
    </w:p>
    <w:p>
      <w:pPr>
        <w:spacing w:before="400"/>
      </w:pPr>
    </w:p>
    <w:p>
      <w:pPr>
        <w:spacing w:after="60" w:before="60" w:line="300"/>
      </w:pP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Sources: supabase.com/pricing · developers.cloudflare.com/workers/platform/pricing · expo.dev/pricing · resend.com/pricing · developer.apple.com/programs. Prices verified April 2026.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FieldIQ Infrastructure Cost Estimate</dc:title>
  <dc:creator>FieldIQ</dc:creator>
  <cp:lastModifiedBy>Un-named</cp:lastModifiedBy>
  <cp:revision>1</cp:revision>
  <dcterms:created xsi:type="dcterms:W3CDTF">2026-04-24T13:30:15.818Z</dcterms:created>
  <dcterms:modified xsi:type="dcterms:W3CDTF">2026-04-24T13:30:15.819Z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