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77E6AA" w14:textId="35D0054F" w:rsidR="00232832" w:rsidRDefault="00424E87" w:rsidP="00424E87">
      <w:pPr>
        <w:spacing w:after="20"/>
      </w:pPr>
      <w:proofErr w:type="spellStart"/>
      <w:r w:rsidRPr="00424E87">
        <w:rPr>
          <w:rFonts w:ascii="Calibri" w:hAnsi="Calibri"/>
          <w:b/>
          <w:color w:val="1A365D"/>
          <w:sz w:val="30"/>
        </w:rPr>
        <w:t>Olist</w:t>
      </w:r>
      <w:proofErr w:type="spellEnd"/>
      <w:r>
        <w:rPr>
          <w:rFonts w:ascii="Calibri" w:hAnsi="Calibri"/>
          <w:b/>
          <w:color w:val="1A365D"/>
          <w:sz w:val="30"/>
        </w:rPr>
        <w:t xml:space="preserve"> </w:t>
      </w:r>
      <w:r w:rsidRPr="00424E87">
        <w:rPr>
          <w:rFonts w:ascii="Calibri" w:hAnsi="Calibri"/>
          <w:b/>
          <w:color w:val="1A365D"/>
          <w:sz w:val="30"/>
        </w:rPr>
        <w:t>Brazilian E-Commerce</w:t>
      </w:r>
      <w:r>
        <w:rPr>
          <w:rFonts w:ascii="Calibri" w:hAnsi="Calibri"/>
          <w:b/>
          <w:color w:val="1A365D"/>
          <w:sz w:val="30"/>
        </w:rPr>
        <w:t xml:space="preserve"> </w:t>
      </w:r>
      <w:r w:rsidR="00000000">
        <w:rPr>
          <w:rFonts w:ascii="Calibri" w:hAnsi="Calibri"/>
          <w:b/>
          <w:color w:val="1A365D"/>
          <w:sz w:val="30"/>
        </w:rPr>
        <w:t>Business Performance &amp; Growth Analysis</w:t>
      </w:r>
    </w:p>
    <w:p w14:paraId="46D8E2CC" w14:textId="2B18F087" w:rsidR="00232832" w:rsidRDefault="00000000">
      <w:pPr>
        <w:spacing w:after="160"/>
      </w:pPr>
      <w:r>
        <w:rPr>
          <w:rFonts w:ascii="Calibri" w:hAnsi="Calibri"/>
          <w:i/>
          <w:color w:val="718096"/>
          <w:sz w:val="18"/>
        </w:rPr>
        <w:t>Executive Deliverable |</w:t>
      </w:r>
      <w:r w:rsidR="00424E87">
        <w:rPr>
          <w:rFonts w:ascii="Calibri" w:hAnsi="Calibri"/>
          <w:i/>
          <w:color w:val="718096"/>
          <w:sz w:val="18"/>
        </w:rPr>
        <w:t xml:space="preserve"> </w:t>
      </w:r>
      <w:r>
        <w:rPr>
          <w:rFonts w:ascii="Calibri" w:hAnsi="Calibri"/>
          <w:i/>
          <w:color w:val="718096"/>
          <w:sz w:val="18"/>
        </w:rPr>
        <w:t>Dataset Period: Sep 2016 – Sep 2018</w:t>
      </w:r>
    </w:p>
    <w:p w14:paraId="09817A30" w14:textId="77777777" w:rsidR="00232832" w:rsidRDefault="00000000">
      <w:pPr>
        <w:keepNext/>
        <w:spacing w:before="120" w:after="40"/>
      </w:pPr>
      <w:r>
        <w:rPr>
          <w:rFonts w:ascii="Calibri" w:hAnsi="Calibri"/>
          <w:b/>
          <w:color w:val="1F4E79"/>
        </w:rPr>
        <w:t>1. Data Overview</w:t>
      </w:r>
    </w:p>
    <w:p w14:paraId="47394141" w14:textId="77777777" w:rsidR="00232832" w:rsidRDefault="00000000">
      <w:pPr>
        <w:spacing w:after="100" w:line="269" w:lineRule="auto"/>
        <w:rPr>
          <w:rFonts w:ascii="Calibri" w:hAnsi="Calibri"/>
          <w:color w:val="2D3748"/>
          <w:sz w:val="19"/>
        </w:rPr>
      </w:pPr>
      <w:r>
        <w:rPr>
          <w:rFonts w:ascii="Calibri" w:hAnsi="Calibri"/>
          <w:color w:val="2D3748"/>
          <w:sz w:val="19"/>
        </w:rPr>
        <w:t>This dataset comprises customer transactions, order items, and product catalog records from a Brazilian e-commerce platform spanning 24 recorded months from September 2016 through September 2018 across relational database tables. A comprehensive data quality assessment reveals key structural anomalies: November 2016 is entirely absent, while September 2016 (R$ 136.23), December 2016 (R$ 19.62), and September 2018 (R$ 166.46) represent truncated pilot and wind-down phases rather than full operating months. Consequently, business evaluation must benchmark against the 20 continuous peak operational months between January 2017 and August 2018, during which monthly platform revenues scaled robustly to well over R$ 1,000,000. Additionally, customer spend values are heavily right-skewed, requiring careful segmentation between routine purchasers and ultra-high-value outliers.</w:t>
      </w:r>
    </w:p>
    <w:p w14:paraId="0F9A816B" w14:textId="77777777" w:rsidR="004A7E82" w:rsidRDefault="004A7E82">
      <w:pPr>
        <w:spacing w:after="100" w:line="269" w:lineRule="auto"/>
      </w:pPr>
    </w:p>
    <w:p w14:paraId="7A892ED4" w14:textId="21DCE4D3" w:rsidR="00232832" w:rsidRDefault="00000000">
      <w:pPr>
        <w:keepNext/>
        <w:spacing w:before="120" w:after="40"/>
      </w:pPr>
      <w:r>
        <w:rPr>
          <w:rFonts w:ascii="Calibri" w:hAnsi="Calibri"/>
          <w:b/>
          <w:color w:val="1F4E79"/>
        </w:rPr>
        <w:t>2. Business Insights</w:t>
      </w:r>
    </w:p>
    <w:p w14:paraId="7BD68182" w14:textId="77777777" w:rsidR="00232832" w:rsidRDefault="00000000">
      <w:pPr>
        <w:spacing w:after="80" w:line="269" w:lineRule="auto"/>
      </w:pPr>
      <w:r>
        <w:rPr>
          <w:rFonts w:ascii="Calibri" w:hAnsi="Calibri"/>
          <w:b/>
          <w:color w:val="1F4E79"/>
          <w:sz w:val="19"/>
        </w:rPr>
        <w:t xml:space="preserve">Customer Retention Bottleneck Threatens Long-Term Growth (Query 7): </w:t>
      </w:r>
      <w:r>
        <w:rPr>
          <w:rFonts w:ascii="Calibri" w:hAnsi="Calibri"/>
          <w:color w:val="2D3748"/>
          <w:sz w:val="19"/>
        </w:rPr>
        <w:t>Analysis of customer purchase frequency shows that 96.96% of the customer base (92,102 customers) are one-time buyers, while repeat buyers represent a mere 3.04% (2,888 customers). For the business, this indicates severe churn and an unsustainable reliance on continuous, high-cost customer acquisition. Without dedicated post-purchase engagement or loyalty mechanics, the platform is functioning merely as a transactional checkout point rather than building durable customer lifetime value, leaving future top-line growth vulnerable to rising digital advertising costs.</w:t>
      </w:r>
    </w:p>
    <w:p w14:paraId="6F335A39" w14:textId="77777777" w:rsidR="00232832" w:rsidRDefault="00000000">
      <w:pPr>
        <w:spacing w:after="80" w:line="269" w:lineRule="auto"/>
      </w:pPr>
      <w:r>
        <w:rPr>
          <w:rFonts w:ascii="Calibri" w:hAnsi="Calibri"/>
          <w:b/>
          <w:color w:val="1F4E79"/>
          <w:sz w:val="19"/>
        </w:rPr>
        <w:t xml:space="preserve">Top Categories Anchor Core Platform Volume (Query 4 &amp; Query 8): </w:t>
      </w:r>
      <w:r>
        <w:rPr>
          <w:rFonts w:ascii="Calibri" w:hAnsi="Calibri"/>
          <w:color w:val="2D3748"/>
          <w:sz w:val="19"/>
        </w:rPr>
        <w:t>Evaluating gross merchandise value across 74 product categories indicates that revenue is heavily anchored in leading lifestyle segments, led by Health &amp; Beauty (beleza_saude) generating R$ 1,255,695.13 (9.31% of platform total), followed by Watches &amp; Gifts (R$ 1.19M), Bed &amp; Bath (R$ 1.04M), and Sports &amp; Leisure (R$ 0.98M)—with the top 5 categories driving nearly 40% of total catalog sales. For the business, this proves that consumer demand is concentrated in recurring personal care, home lifestyle, and gifting goods. Marketing expenditures, inventory logistics, and merchant partnership terms should prioritize these anchor verticals while rationalizing underperforming niche categories.</w:t>
      </w:r>
    </w:p>
    <w:p w14:paraId="2019429B" w14:textId="77777777" w:rsidR="00232832" w:rsidRDefault="00000000">
      <w:pPr>
        <w:spacing w:after="100" w:line="269" w:lineRule="auto"/>
        <w:rPr>
          <w:rFonts w:ascii="Calibri" w:hAnsi="Calibri"/>
          <w:color w:val="2D3748"/>
          <w:sz w:val="19"/>
        </w:rPr>
      </w:pPr>
      <w:r>
        <w:rPr>
          <w:rFonts w:ascii="Calibri" w:hAnsi="Calibri"/>
          <w:b/>
          <w:color w:val="1F4E79"/>
          <w:sz w:val="19"/>
        </w:rPr>
        <w:t xml:space="preserve">Extreme Long-Tail Spending Profile with Untapped Mid-Tier (Query 6): </w:t>
      </w:r>
      <w:r>
        <w:rPr>
          <w:rFonts w:ascii="Calibri" w:hAnsi="Calibri"/>
          <w:color w:val="2D3748"/>
          <w:sz w:val="19"/>
        </w:rPr>
        <w:t>Customer spending tier segmentation reveals that 99.77% of clients (95,870 individuals) fall into the 'Low' spend tier (under R$ 2,000, averaging R$ 160.49), contributing R$ 15.39M in aggregate sales, whereas 'Medium' (204 customers) and 'High' (21 customers) represent less than 0.25% of buyers combined. For the business, this demonstrates an overwhelming dependence on entry-level, single-item basket sizes. The business currently misses a vital monetization bridge between entry-level shoppers and premium buyers, signaling an urgent need for upselling, bundling, and minimum basket thresholds to lift average order value.</w:t>
      </w:r>
    </w:p>
    <w:p w14:paraId="70B5EA8C" w14:textId="77777777" w:rsidR="004A7E82" w:rsidRDefault="004A7E82">
      <w:pPr>
        <w:spacing w:after="100" w:line="269" w:lineRule="auto"/>
      </w:pPr>
    </w:p>
    <w:p w14:paraId="041CFE91" w14:textId="32434334" w:rsidR="00232832" w:rsidRDefault="00000000">
      <w:pPr>
        <w:keepNext/>
        <w:spacing w:before="120" w:after="40"/>
      </w:pPr>
      <w:r>
        <w:rPr>
          <w:rFonts w:ascii="Calibri" w:hAnsi="Calibri"/>
          <w:b/>
          <w:color w:val="1F4E79"/>
        </w:rPr>
        <w:t>3. Recommendations</w:t>
      </w:r>
    </w:p>
    <w:p w14:paraId="675EB460" w14:textId="77777777" w:rsidR="00232832" w:rsidRDefault="00000000">
      <w:pPr>
        <w:spacing w:after="80" w:line="269" w:lineRule="auto"/>
      </w:pPr>
      <w:r>
        <w:rPr>
          <w:rFonts w:ascii="Calibri" w:hAnsi="Calibri"/>
          <w:b/>
          <w:color w:val="1F4E79"/>
          <w:sz w:val="19"/>
        </w:rPr>
        <w:t xml:space="preserve">1. Deploy Automated Post-Purchase Lifecycle Campaigns to Combat 97% One-Time Churn: </w:t>
      </w:r>
      <w:r>
        <w:rPr>
          <w:rFonts w:ascii="Calibri" w:hAnsi="Calibri"/>
          <w:color w:val="2D3748"/>
          <w:sz w:val="19"/>
        </w:rPr>
        <w:t>Implement triggered email/SMS re-engagement sequences offering personalized, time-bound discounts on complementary catalog items within 30 to 60 days of an initial order. Focusing this retention campaign on high-velocity repeat categories like Health &amp; Beauty will systematically convert first-time buyers into loyal repeat purchasers and lower blended acquisition costs.</w:t>
      </w:r>
    </w:p>
    <w:p w14:paraId="373AAD74" w14:textId="77777777" w:rsidR="00232832" w:rsidRDefault="00000000">
      <w:pPr>
        <w:spacing w:after="0" w:line="269" w:lineRule="auto"/>
      </w:pPr>
      <w:r>
        <w:rPr>
          <w:rFonts w:ascii="Calibri" w:hAnsi="Calibri"/>
          <w:b/>
          <w:color w:val="1F4E79"/>
          <w:sz w:val="19"/>
        </w:rPr>
        <w:t xml:space="preserve">2. Implement Cross-Category Bundling and Tiered Free-Shipping Thresholds to Lift Basket Size: </w:t>
      </w:r>
      <w:r>
        <w:rPr>
          <w:rFonts w:ascii="Calibri" w:hAnsi="Calibri"/>
          <w:color w:val="2D3748"/>
          <w:sz w:val="19"/>
        </w:rPr>
        <w:t>Introduce algorithmic cross-selling prompts at checkout paired with a free shipping minimum threshold set above the current R$ 160 average basket size (e.g., free shipping at R$ 250+). This will encourage low-tier customers to add secondary items to their carts, effectively migrating thousands of mass-market buyers into higher spending tiers and driving higher platform margins.</w:t>
      </w:r>
    </w:p>
    <w:sectPr w:rsidR="0023283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2804585">
    <w:abstractNumId w:val="8"/>
  </w:num>
  <w:num w:numId="2" w16cid:durableId="254562014">
    <w:abstractNumId w:val="6"/>
  </w:num>
  <w:num w:numId="3" w16cid:durableId="1476988843">
    <w:abstractNumId w:val="5"/>
  </w:num>
  <w:num w:numId="4" w16cid:durableId="269628054">
    <w:abstractNumId w:val="4"/>
  </w:num>
  <w:num w:numId="5" w16cid:durableId="141192505">
    <w:abstractNumId w:val="7"/>
  </w:num>
  <w:num w:numId="6" w16cid:durableId="1191720486">
    <w:abstractNumId w:val="3"/>
  </w:num>
  <w:num w:numId="7" w16cid:durableId="754745071">
    <w:abstractNumId w:val="2"/>
  </w:num>
  <w:num w:numId="8" w16cid:durableId="720908991">
    <w:abstractNumId w:val="1"/>
  </w:num>
  <w:num w:numId="9" w16cid:durableId="19309176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832"/>
    <w:rsid w:val="0029639D"/>
    <w:rsid w:val="00326F90"/>
    <w:rsid w:val="00424E87"/>
    <w:rsid w:val="004A7E82"/>
    <w:rsid w:val="00AA1D8D"/>
    <w:rsid w:val="00B47730"/>
    <w:rsid w:val="00C83563"/>
    <w:rsid w:val="00CB0664"/>
    <w:rsid w:val="00D07594"/>
    <w:rsid w:val="00D32D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EE43F"/>
  <w14:defaultImageDpi w14:val="300"/>
  <w15:docId w15:val="{44DCC627-9FB1-B645-99C1-176F4CA04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Keessha Shamae Cham</cp:lastModifiedBy>
  <cp:revision>4</cp:revision>
  <dcterms:created xsi:type="dcterms:W3CDTF">2013-12-23T23:15:00Z</dcterms:created>
  <dcterms:modified xsi:type="dcterms:W3CDTF">2026-09-13T12:04:00Z</dcterms:modified>
  <cp:category/>
</cp:coreProperties>
</file>