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1161" w:type="dxa"/>
        <w:tblInd w:w="-743" w:type="dxa"/>
        <w:shd w:val="pct40" w:color="auto" w:fill="auto"/>
        <w:tblLook w:val="04A0" w:firstRow="1" w:lastRow="0" w:firstColumn="1" w:lastColumn="0" w:noHBand="0" w:noVBand="1"/>
      </w:tblPr>
      <w:tblGrid>
        <w:gridCol w:w="11161"/>
      </w:tblGrid>
      <w:tr w:rsidR="00696C4D" w:rsidTr="00E14419">
        <w:trPr>
          <w:trHeight w:val="388"/>
        </w:trPr>
        <w:tc>
          <w:tcPr>
            <w:tcW w:w="11161" w:type="dxa"/>
            <w:shd w:val="pct40" w:color="auto" w:fill="auto"/>
          </w:tcPr>
          <w:p w:rsidR="00696C4D" w:rsidRPr="00E14419" w:rsidRDefault="00696C4D" w:rsidP="00696C4D">
            <w:pPr>
              <w:rPr>
                <w:b/>
                <w:sz w:val="32"/>
                <w:szCs w:val="32"/>
              </w:rPr>
            </w:pPr>
            <w:r w:rsidRPr="00E14419">
              <w:rPr>
                <w:b/>
                <w:color w:val="FFFFFF" w:themeColor="background1"/>
                <w:sz w:val="32"/>
                <w:szCs w:val="32"/>
              </w:rPr>
              <w:t xml:space="preserve">Estimation pour une mise en </w:t>
            </w:r>
            <w:r w:rsidR="008C574E" w:rsidRPr="00E14419">
              <w:rPr>
                <w:b/>
                <w:color w:val="FFFFFF" w:themeColor="background1"/>
                <w:sz w:val="32"/>
                <w:szCs w:val="32"/>
              </w:rPr>
              <w:t>« </w:t>
            </w:r>
            <w:r w:rsidRPr="00E14419">
              <w:rPr>
                <w:b/>
                <w:color w:val="FFFFFF" w:themeColor="background1"/>
                <w:sz w:val="32"/>
                <w:szCs w:val="32"/>
              </w:rPr>
              <w:t>conformité</w:t>
            </w:r>
            <w:r w:rsidR="008C574E" w:rsidRPr="00E14419">
              <w:rPr>
                <w:b/>
                <w:color w:val="FFFFFF" w:themeColor="background1"/>
                <w:sz w:val="32"/>
                <w:szCs w:val="32"/>
              </w:rPr>
              <w:t> »</w:t>
            </w:r>
            <w:r w:rsidRPr="00E14419">
              <w:rPr>
                <w:b/>
                <w:color w:val="FFFFFF" w:themeColor="background1"/>
                <w:sz w:val="32"/>
                <w:szCs w:val="32"/>
              </w:rPr>
              <w:t xml:space="preserve"> selon recommandations audit CNAM</w:t>
            </w:r>
          </w:p>
        </w:tc>
      </w:tr>
    </w:tbl>
    <w:p w:rsidR="0056655D" w:rsidRPr="0056655D" w:rsidRDefault="00E36B08">
      <w:pPr>
        <w:rPr>
          <w:b/>
        </w:rPr>
      </w:pPr>
      <w:r>
        <w:rPr>
          <w:b/>
          <w:sz w:val="28"/>
        </w:rPr>
        <w:br/>
      </w:r>
      <w:r w:rsidR="0056655D" w:rsidRPr="007F1C02">
        <w:rPr>
          <w:b/>
          <w:sz w:val="28"/>
        </w:rPr>
        <w:t>Rappel du contexte </w:t>
      </w:r>
      <w:r w:rsidR="0056655D" w:rsidRPr="0056655D">
        <w:rPr>
          <w:b/>
        </w:rPr>
        <w:t>:</w:t>
      </w:r>
    </w:p>
    <w:p w:rsidR="0056655D" w:rsidRPr="0056655D" w:rsidRDefault="0056655D">
      <w:r w:rsidRPr="0056655D">
        <w:t>Espace Employeur</w:t>
      </w:r>
      <w:r>
        <w:t xml:space="preserve"> n’a été maintenu </w:t>
      </w:r>
      <w:bookmarkStart w:id="0" w:name="_GoBack"/>
      <w:bookmarkEnd w:id="0"/>
      <w:r>
        <w:t>qu’en attente du palier 3 du développement de IXI.</w:t>
      </w:r>
      <w:r>
        <w:br/>
        <w:t xml:space="preserve">Le code date des années 2000, plusieurs développeurs se sont </w:t>
      </w:r>
      <w:r w:rsidR="003C62B5">
        <w:t>succédé</w:t>
      </w:r>
      <w:r>
        <w:t xml:space="preserve"> sur son développement et </w:t>
      </w:r>
      <w:r w:rsidR="00CF79D0">
        <w:t xml:space="preserve">sa </w:t>
      </w:r>
      <w:proofErr w:type="spellStart"/>
      <w:r w:rsidR="00CF79D0">
        <w:t>maintenace</w:t>
      </w:r>
      <w:proofErr w:type="spellEnd"/>
      <w:r>
        <w:t xml:space="preserve"> sans refonte aux standards actuels. </w:t>
      </w:r>
      <w:r w:rsidR="00B67F23">
        <w:t xml:space="preserve"> Certaines recommandations sont forcément liées entre elles.</w:t>
      </w:r>
      <w:r>
        <w:t xml:space="preserve"> (</w:t>
      </w:r>
      <w:r w:rsidR="00F226B3">
        <w:t>E</w:t>
      </w:r>
      <w:r>
        <w:t>x :</w:t>
      </w:r>
      <w:r w:rsidR="001F44D0">
        <w:t xml:space="preserve"> migration de base</w:t>
      </w:r>
      <w:r w:rsidR="00F226B3">
        <w:t xml:space="preserve"> MySQL vers PostgreSQL</w:t>
      </w:r>
      <w:r w:rsidR="001F44D0">
        <w:t xml:space="preserve"> et ORM).</w:t>
      </w:r>
      <w:r w:rsidR="00E36B08">
        <w:t xml:space="preserve"> </w:t>
      </w:r>
    </w:p>
    <w:p w:rsidR="008C574E" w:rsidRDefault="00655DAD" w:rsidP="00D03110">
      <w:pPr>
        <w:pStyle w:val="Paragraphedeliste"/>
        <w:numPr>
          <w:ilvl w:val="0"/>
          <w:numId w:val="3"/>
        </w:numPr>
        <w:rPr>
          <w:b/>
          <w:sz w:val="28"/>
        </w:rPr>
      </w:pPr>
      <w:r w:rsidRPr="00D03110">
        <w:rPr>
          <w:b/>
          <w:sz w:val="28"/>
        </w:rPr>
        <w:t xml:space="preserve">NB : </w:t>
      </w:r>
      <w:r w:rsidR="008C574E" w:rsidRPr="00D03110">
        <w:rPr>
          <w:b/>
          <w:sz w:val="28"/>
        </w:rPr>
        <w:t>Le fonctionnel et l’ergonomie restent identiques</w:t>
      </w:r>
      <w:r w:rsidR="00D05684">
        <w:rPr>
          <w:b/>
          <w:sz w:val="28"/>
        </w:rPr>
        <w:t>.</w:t>
      </w:r>
    </w:p>
    <w:p w:rsidR="00B67F23" w:rsidRDefault="00B67F23" w:rsidP="00D03110">
      <w:pPr>
        <w:pStyle w:val="Paragraphedeliste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Pas de gestion d’authentification via </w:t>
      </w:r>
      <w:proofErr w:type="spellStart"/>
      <w:r>
        <w:rPr>
          <w:b/>
          <w:sz w:val="28"/>
        </w:rPr>
        <w:t>AccessMaster</w:t>
      </w:r>
      <w:proofErr w:type="spellEnd"/>
      <w:r>
        <w:rPr>
          <w:b/>
          <w:sz w:val="28"/>
        </w:rPr>
        <w:t xml:space="preserve"> pour les agents</w:t>
      </w:r>
    </w:p>
    <w:p w:rsidR="00B67F23" w:rsidRDefault="00B67F23" w:rsidP="00D03110">
      <w:pPr>
        <w:pStyle w:val="Paragraphedeliste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Pas de gestion d’authentification via </w:t>
      </w:r>
      <w:proofErr w:type="spellStart"/>
      <w:r>
        <w:rPr>
          <w:b/>
          <w:sz w:val="28"/>
        </w:rPr>
        <w:t>Net.entreprise</w:t>
      </w:r>
      <w:proofErr w:type="spellEnd"/>
      <w:r>
        <w:rPr>
          <w:b/>
          <w:sz w:val="28"/>
        </w:rPr>
        <w:t xml:space="preserve"> pour les employeurs</w:t>
      </w:r>
    </w:p>
    <w:p w:rsidR="00D05684" w:rsidRPr="00D03110" w:rsidRDefault="003535E7" w:rsidP="00D03110">
      <w:pPr>
        <w:pStyle w:val="Paragraphedeliste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Nous rappelons que l</w:t>
      </w:r>
      <w:r w:rsidR="00D05684">
        <w:rPr>
          <w:b/>
          <w:sz w:val="28"/>
        </w:rPr>
        <w:t xml:space="preserve">a réécriture aux standards MD23 est la solution la </w:t>
      </w:r>
      <w:r w:rsidR="00B67F23">
        <w:rPr>
          <w:b/>
          <w:sz w:val="28"/>
        </w:rPr>
        <w:t>plus appropriée</w:t>
      </w:r>
      <w:r w:rsidR="00D05684">
        <w:rPr>
          <w:b/>
          <w:sz w:val="28"/>
        </w:rPr>
        <w:t xml:space="preserve"> surtout si </w:t>
      </w:r>
      <w:r w:rsidR="000044C6">
        <w:rPr>
          <w:b/>
          <w:sz w:val="28"/>
        </w:rPr>
        <w:t xml:space="preserve">le service </w:t>
      </w:r>
      <w:r w:rsidR="00D05684">
        <w:rPr>
          <w:b/>
          <w:sz w:val="28"/>
        </w:rPr>
        <w:t>espace employeur doit durer dans le temps.</w:t>
      </w:r>
    </w:p>
    <w:p w:rsidR="002F53FE" w:rsidRPr="002F53FE" w:rsidRDefault="00341FA4" w:rsidP="00696C4D">
      <w:pPr>
        <w:pStyle w:val="Titre2"/>
      </w:pPr>
      <w:r>
        <w:t xml:space="preserve">Mise à jour ou remplacement </w:t>
      </w:r>
      <w:r w:rsidR="002F53FE" w:rsidRPr="002F53FE">
        <w:t>des bibliothèques utilisées</w:t>
      </w:r>
    </w:p>
    <w:p w:rsidR="00E074A1" w:rsidRPr="00E074A1" w:rsidRDefault="003658E3" w:rsidP="00FA43E9">
      <w:pPr>
        <w:pStyle w:val="Paragraphedeliste"/>
        <w:numPr>
          <w:ilvl w:val="0"/>
          <w:numId w:val="7"/>
        </w:numPr>
        <w:rPr>
          <w:b/>
        </w:rPr>
      </w:pPr>
      <w:r w:rsidRPr="00FA43E9">
        <w:rPr>
          <w:b/>
        </w:rPr>
        <w:t>FPDF</w:t>
      </w:r>
      <w:r>
        <w:t> </w:t>
      </w:r>
      <w:proofErr w:type="gramStart"/>
      <w:r>
        <w:t>:  Mise</w:t>
      </w:r>
      <w:proofErr w:type="gramEnd"/>
      <w:r>
        <w:t xml:space="preserve"> à jour de la librairie</w:t>
      </w:r>
    </w:p>
    <w:p w:rsidR="00E074A1" w:rsidRPr="00E074A1" w:rsidRDefault="002F53FE" w:rsidP="00FA43E9">
      <w:pPr>
        <w:pStyle w:val="Paragraphedeliste"/>
        <w:numPr>
          <w:ilvl w:val="0"/>
          <w:numId w:val="7"/>
        </w:numPr>
        <w:rPr>
          <w:b/>
        </w:rPr>
      </w:pPr>
      <w:proofErr w:type="spellStart"/>
      <w:r w:rsidRPr="00FA43E9">
        <w:rPr>
          <w:b/>
        </w:rPr>
        <w:t>Php_mailer</w:t>
      </w:r>
      <w:proofErr w:type="spellEnd"/>
      <w:r w:rsidR="003658E3">
        <w:t> </w:t>
      </w:r>
      <w:proofErr w:type="gramStart"/>
      <w:r w:rsidR="003658E3">
        <w:t>:  La</w:t>
      </w:r>
      <w:proofErr w:type="gramEnd"/>
      <w:r w:rsidR="003658E3">
        <w:t xml:space="preserve"> version la plus récente est utilisée </w:t>
      </w:r>
    </w:p>
    <w:p w:rsidR="00E074A1" w:rsidRPr="00E074A1" w:rsidRDefault="00291F90" w:rsidP="00FA43E9">
      <w:pPr>
        <w:pStyle w:val="Paragraphedeliste"/>
        <w:numPr>
          <w:ilvl w:val="0"/>
          <w:numId w:val="7"/>
        </w:numPr>
        <w:rPr>
          <w:b/>
        </w:rPr>
      </w:pPr>
      <w:proofErr w:type="spellStart"/>
      <w:r w:rsidRPr="00FA43E9">
        <w:rPr>
          <w:b/>
        </w:rPr>
        <w:t>PHPExcel</w:t>
      </w:r>
      <w:proofErr w:type="spellEnd"/>
      <w:r>
        <w:t xml:space="preserve"> : Complétement dépréciée obligation de passer à </w:t>
      </w:r>
      <w:proofErr w:type="spellStart"/>
      <w:r>
        <w:t>PHPSpreadsheet</w:t>
      </w:r>
      <w:proofErr w:type="spellEnd"/>
    </w:p>
    <w:p w:rsidR="00E074A1" w:rsidRPr="00E074A1" w:rsidRDefault="00291F90" w:rsidP="00FA43E9">
      <w:pPr>
        <w:pStyle w:val="Paragraphedeliste"/>
        <w:numPr>
          <w:ilvl w:val="0"/>
          <w:numId w:val="7"/>
        </w:numPr>
        <w:rPr>
          <w:b/>
        </w:rPr>
      </w:pPr>
      <w:proofErr w:type="spellStart"/>
      <w:r w:rsidRPr="00FA43E9">
        <w:rPr>
          <w:b/>
        </w:rPr>
        <w:t>pibarcode</w:t>
      </w:r>
      <w:proofErr w:type="spellEnd"/>
      <w:r>
        <w:t> :</w:t>
      </w:r>
      <w:r w:rsidR="00576E38">
        <w:t xml:space="preserve"> Remplacement par une nouvelle bibliothèque plus récente</w:t>
      </w:r>
      <w:r w:rsidR="00341FA4">
        <w:t xml:space="preserve"> ou suppression si non utilisée dans les modules </w:t>
      </w:r>
      <w:r w:rsidR="00341FA4" w:rsidRPr="00341FA4">
        <w:rPr>
          <w:rStyle w:val="Emphaseintense"/>
        </w:rPr>
        <w:t>« détachements à l’étranger »</w:t>
      </w:r>
      <w:r w:rsidR="00341FA4">
        <w:t xml:space="preserve"> et « </w:t>
      </w:r>
      <w:r w:rsidR="00341FA4" w:rsidRPr="008308F3">
        <w:rPr>
          <w:rStyle w:val="Emphaseintense"/>
        </w:rPr>
        <w:t>Signalements d’entrée dans un régime spécial</w:t>
      </w:r>
      <w:r w:rsidR="00341FA4">
        <w:rPr>
          <w:rStyle w:val="Emphaseintense"/>
        </w:rPr>
        <w:t> »</w:t>
      </w:r>
      <w:r>
        <w:t xml:space="preserve"> </w:t>
      </w:r>
    </w:p>
    <w:p w:rsidR="00E074A1" w:rsidRPr="00E074A1" w:rsidRDefault="00291F90" w:rsidP="00FA43E9">
      <w:pPr>
        <w:pStyle w:val="Paragraphedeliste"/>
        <w:numPr>
          <w:ilvl w:val="0"/>
          <w:numId w:val="7"/>
        </w:numPr>
        <w:rPr>
          <w:b/>
        </w:rPr>
      </w:pPr>
      <w:proofErr w:type="spellStart"/>
      <w:r w:rsidRPr="00FA43E9">
        <w:rPr>
          <w:b/>
        </w:rPr>
        <w:t>ccBrowserInfo</w:t>
      </w:r>
      <w:proofErr w:type="spellEnd"/>
      <w:r>
        <w:t> </w:t>
      </w:r>
      <w:proofErr w:type="gramStart"/>
      <w:r>
        <w:t>:  Suppression</w:t>
      </w:r>
      <w:proofErr w:type="gramEnd"/>
      <w:r>
        <w:t xml:space="preserve"> , ut</w:t>
      </w:r>
      <w:r w:rsidR="00981DF4">
        <w:t>i</w:t>
      </w:r>
      <w:r>
        <w:t>lisée que dans un fichier</w:t>
      </w:r>
    </w:p>
    <w:p w:rsidR="00E074A1" w:rsidRDefault="00576E38" w:rsidP="00FA43E9">
      <w:pPr>
        <w:pStyle w:val="Paragraphedeliste"/>
        <w:numPr>
          <w:ilvl w:val="0"/>
          <w:numId w:val="7"/>
        </w:numPr>
        <w:rPr>
          <w:b/>
        </w:rPr>
      </w:pPr>
      <w:proofErr w:type="spellStart"/>
      <w:r w:rsidRPr="00FA43E9">
        <w:rPr>
          <w:b/>
        </w:rPr>
        <w:t>ccSiteStyle</w:t>
      </w:r>
      <w:proofErr w:type="spellEnd"/>
      <w:r>
        <w:t> : Suppression</w:t>
      </w:r>
      <w:r w:rsidR="00341FA4">
        <w:t xml:space="preserve"> n’est pas utilisée</w:t>
      </w:r>
      <w:r w:rsidR="00981DF4">
        <w:br/>
      </w:r>
    </w:p>
    <w:p w:rsidR="00981DF4" w:rsidRPr="00E074A1" w:rsidRDefault="00B063DD" w:rsidP="00E074A1">
      <w:pPr>
        <w:ind w:left="360"/>
        <w:rPr>
          <w:b/>
        </w:rPr>
      </w:pPr>
      <w:r w:rsidRPr="00E074A1">
        <w:rPr>
          <w:b/>
        </w:rPr>
        <w:t xml:space="preserve">Temps : </w:t>
      </w:r>
      <w:r w:rsidR="006D63B2">
        <w:rPr>
          <w:b/>
        </w:rPr>
        <w:t>15</w:t>
      </w:r>
      <w:r w:rsidRPr="00E074A1">
        <w:rPr>
          <w:b/>
        </w:rPr>
        <w:t xml:space="preserve"> jours (Tests manuels de non régression inclus)</w:t>
      </w:r>
    </w:p>
    <w:p w:rsidR="00341FA4" w:rsidRDefault="00622969" w:rsidP="00341FA4">
      <w:pPr>
        <w:pStyle w:val="Titre2"/>
      </w:pPr>
      <w:r>
        <w:t xml:space="preserve">Remaniement </w:t>
      </w:r>
      <w:r w:rsidR="00754182">
        <w:t>de l’organisation du code</w:t>
      </w:r>
      <w:r>
        <w:t xml:space="preserve"> type MVC</w:t>
      </w:r>
    </w:p>
    <w:p w:rsidR="002E56BF" w:rsidRDefault="004D4D33" w:rsidP="00FA43E9">
      <w:pPr>
        <w:pStyle w:val="Paragraphedeliste"/>
        <w:numPr>
          <w:ilvl w:val="0"/>
          <w:numId w:val="5"/>
        </w:numPr>
      </w:pPr>
      <w:r>
        <w:t>Revue de code pour éviter les red</w:t>
      </w:r>
      <w:r w:rsidR="00291F90">
        <w:t>ondance</w:t>
      </w:r>
      <w:r>
        <w:t>s</w:t>
      </w:r>
      <w:r w:rsidR="00291F90">
        <w:t xml:space="preserve"> de </w:t>
      </w:r>
      <w:r w:rsidR="00341FA4">
        <w:t xml:space="preserve">définition de </w:t>
      </w:r>
      <w:r w:rsidR="00291F90">
        <w:t>fonction</w:t>
      </w:r>
      <w:r w:rsidR="00A367E8">
        <w:t xml:space="preserve"> </w:t>
      </w:r>
      <w:r w:rsidR="00341FA4">
        <w:t>ex </w:t>
      </w:r>
      <w:proofErr w:type="gramStart"/>
      <w:r w:rsidR="00341FA4">
        <w:t>:</w:t>
      </w:r>
      <w:r w:rsidR="00A367E8" w:rsidRPr="00FA43E9">
        <w:rPr>
          <w:b/>
        </w:rPr>
        <w:t>DateA2F</w:t>
      </w:r>
      <w:proofErr w:type="gramEnd"/>
      <w:r w:rsidR="00A367E8" w:rsidRPr="00FA43E9">
        <w:rPr>
          <w:b/>
        </w:rPr>
        <w:t>()</w:t>
      </w:r>
      <w:r w:rsidR="00291F90">
        <w:t xml:space="preserve"> dans plus</w:t>
      </w:r>
      <w:r w:rsidR="00A367E8">
        <w:t xml:space="preserve"> d’une quarantaine de fichiers</w:t>
      </w:r>
      <w:r w:rsidR="00341FA4">
        <w:t>, d’autres fonctions sont concernés.</w:t>
      </w:r>
      <w:r w:rsidR="00400B67">
        <w:t xml:space="preserve"> </w:t>
      </w:r>
    </w:p>
    <w:p w:rsidR="004D4D33" w:rsidRDefault="004D4D33" w:rsidP="00FA43E9">
      <w:pPr>
        <w:pStyle w:val="Paragraphedeliste"/>
        <w:numPr>
          <w:ilvl w:val="0"/>
          <w:numId w:val="5"/>
        </w:numPr>
      </w:pPr>
      <w:r>
        <w:t>L’encodage des fichiers n’est pas le m</w:t>
      </w:r>
      <w:r w:rsidR="00DA4470">
        <w:t>ême pour tous les fichiers.</w:t>
      </w:r>
    </w:p>
    <w:p w:rsidR="00291F90" w:rsidRDefault="00400B67" w:rsidP="00FA43E9">
      <w:pPr>
        <w:pStyle w:val="Paragraphedeliste"/>
        <w:numPr>
          <w:ilvl w:val="0"/>
          <w:numId w:val="5"/>
        </w:numPr>
      </w:pPr>
      <w:r>
        <w:t>Créer</w:t>
      </w:r>
      <w:r w:rsidR="003658E3">
        <w:t xml:space="preserve"> et déplacer le code </w:t>
      </w:r>
      <w:r w:rsidR="00D03110">
        <w:t xml:space="preserve">(séparation du </w:t>
      </w:r>
      <w:proofErr w:type="gramStart"/>
      <w:r w:rsidR="00D03110">
        <w:t>JavaScript ,</w:t>
      </w:r>
      <w:proofErr w:type="gramEnd"/>
      <w:r w:rsidR="00D03110">
        <w:t xml:space="preserve"> du </w:t>
      </w:r>
      <w:proofErr w:type="spellStart"/>
      <w:r w:rsidR="00D03110">
        <w:t>css</w:t>
      </w:r>
      <w:proofErr w:type="spellEnd"/>
      <w:r w:rsidR="00D03110">
        <w:t xml:space="preserve">) puis </w:t>
      </w:r>
      <w:r w:rsidR="003658E3">
        <w:t>dans</w:t>
      </w:r>
      <w:r w:rsidR="00754182">
        <w:t xml:space="preserve"> d</w:t>
      </w:r>
      <w:r>
        <w:t xml:space="preserve">es </w:t>
      </w:r>
      <w:proofErr w:type="spellStart"/>
      <w:r>
        <w:t>controllers</w:t>
      </w:r>
      <w:proofErr w:type="spellEnd"/>
      <w:r>
        <w:t>,</w:t>
      </w:r>
      <w:r w:rsidR="003658E3">
        <w:t xml:space="preserve"> </w:t>
      </w:r>
      <w:r>
        <w:t>modèles,</w:t>
      </w:r>
      <w:r w:rsidR="003658E3">
        <w:t xml:space="preserve"> </w:t>
      </w:r>
      <w:r>
        <w:t>vues</w:t>
      </w:r>
      <w:r w:rsidR="00D03110">
        <w:t xml:space="preserve"> </w:t>
      </w:r>
      <w:r w:rsidR="00754182">
        <w:t xml:space="preserve">avec ajout de routage, </w:t>
      </w:r>
      <w:r>
        <w:t xml:space="preserve">implique une refonte </w:t>
      </w:r>
      <w:r w:rsidRPr="00695A6C">
        <w:rPr>
          <w:b/>
        </w:rPr>
        <w:t>complète</w:t>
      </w:r>
      <w:r>
        <w:t xml:space="preserve"> de l’architecture du code</w:t>
      </w:r>
      <w:r w:rsidR="00695A6C">
        <w:t xml:space="preserve"> (Une réécriture est plus à propos)</w:t>
      </w:r>
    </w:p>
    <w:p w:rsidR="00DF1044" w:rsidRDefault="00B063DD">
      <w:pPr>
        <w:rPr>
          <w:b/>
        </w:rPr>
      </w:pPr>
      <w:r w:rsidRPr="00B063DD">
        <w:rPr>
          <w:b/>
        </w:rPr>
        <w:t xml:space="preserve">Temps de réorganisation du code </w:t>
      </w:r>
      <w:r w:rsidR="009A270D">
        <w:rPr>
          <w:b/>
        </w:rPr>
        <w:t>« </w:t>
      </w:r>
      <w:r w:rsidRPr="00B063DD">
        <w:rPr>
          <w:b/>
        </w:rPr>
        <w:t>proches</w:t>
      </w:r>
      <w:r w:rsidR="009A270D">
        <w:rPr>
          <w:b/>
        </w:rPr>
        <w:t> »</w:t>
      </w:r>
      <w:r w:rsidRPr="00B063DD">
        <w:rPr>
          <w:b/>
        </w:rPr>
        <w:t xml:space="preserve"> des normes MVC </w:t>
      </w:r>
      <w:r w:rsidR="009A270D">
        <w:rPr>
          <w:b/>
        </w:rPr>
        <w:t>+ tests manuels de non régression</w:t>
      </w:r>
      <w:r w:rsidRPr="00B063DD">
        <w:rPr>
          <w:b/>
        </w:rPr>
        <w:t xml:space="preserve">: </w:t>
      </w:r>
      <w:r w:rsidR="00827D84">
        <w:rPr>
          <w:b/>
        </w:rPr>
        <w:t>6</w:t>
      </w:r>
      <w:r w:rsidRPr="00B063DD">
        <w:rPr>
          <w:b/>
        </w:rPr>
        <w:t xml:space="preserve">0 jours </w:t>
      </w:r>
    </w:p>
    <w:p w:rsidR="003C62B5" w:rsidRDefault="003C62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00B67" w:rsidRDefault="00400B67" w:rsidP="00400B67">
      <w:pPr>
        <w:pStyle w:val="Titre2"/>
      </w:pPr>
      <w:r>
        <w:lastRenderedPageBreak/>
        <w:t xml:space="preserve">Migration de la base de données </w:t>
      </w:r>
      <w:r w:rsidR="00762B82">
        <w:t>MySQL</w:t>
      </w:r>
      <w:r>
        <w:t xml:space="preserve"> vers </w:t>
      </w:r>
      <w:r w:rsidR="00762B82">
        <w:t>PostgreSQL</w:t>
      </w:r>
      <w:r>
        <w:t> :</w:t>
      </w:r>
    </w:p>
    <w:p w:rsidR="00655DAD" w:rsidRPr="00655DAD" w:rsidRDefault="00655DAD" w:rsidP="00655DAD">
      <w:r>
        <w:t xml:space="preserve">Cette recommandation </w:t>
      </w:r>
      <w:r w:rsidR="002E56BF">
        <w:t>implique des modifications conséquentes de code.</w:t>
      </w:r>
    </w:p>
    <w:p w:rsidR="00655DAD" w:rsidRDefault="00655DAD" w:rsidP="006A57E4">
      <w:pPr>
        <w:pStyle w:val="Paragraphedeliste"/>
        <w:numPr>
          <w:ilvl w:val="0"/>
          <w:numId w:val="2"/>
        </w:numPr>
      </w:pPr>
      <w:r>
        <w:t>Réécriture des requêtes (Sans ORM</w:t>
      </w:r>
      <w:r w:rsidR="00762B82">
        <w:t xml:space="preserve"> la syntaxe des</w:t>
      </w:r>
      <w:r>
        <w:t xml:space="preserve"> fonctions</w:t>
      </w:r>
      <w:r w:rsidR="00762B82">
        <w:t xml:space="preserve"> changent </w:t>
      </w:r>
      <w:r w:rsidR="00762B82" w:rsidRPr="00762B82">
        <w:rPr>
          <w:i/>
        </w:rPr>
        <w:t xml:space="preserve">ex : </w:t>
      </w:r>
      <w:proofErr w:type="spellStart"/>
      <w:r w:rsidR="00762B82" w:rsidRPr="00762B82">
        <w:rPr>
          <w:i/>
        </w:rPr>
        <w:t>mysql_connect</w:t>
      </w:r>
      <w:proofErr w:type="spellEnd"/>
      <w:r w:rsidR="00762B82" w:rsidRPr="00762B82">
        <w:rPr>
          <w:i/>
        </w:rPr>
        <w:t xml:space="preserve"> =&gt; </w:t>
      </w:r>
      <w:proofErr w:type="spellStart"/>
      <w:r w:rsidR="00762B82" w:rsidRPr="00762B82">
        <w:rPr>
          <w:i/>
        </w:rPr>
        <w:t>pg_connect</w:t>
      </w:r>
      <w:proofErr w:type="spellEnd"/>
      <w:r>
        <w:t>)</w:t>
      </w:r>
    </w:p>
    <w:p w:rsidR="002E56BF" w:rsidRDefault="006A57E4" w:rsidP="006A57E4">
      <w:pPr>
        <w:pStyle w:val="Paragraphedeliste"/>
        <w:numPr>
          <w:ilvl w:val="0"/>
          <w:numId w:val="2"/>
        </w:numPr>
      </w:pPr>
      <w:r>
        <w:t>G</w:t>
      </w:r>
      <w:r w:rsidR="00400B67">
        <w:t xml:space="preserve">estion des transactions </w:t>
      </w:r>
      <w:proofErr w:type="spellStart"/>
      <w:r w:rsidR="00400B67">
        <w:t>sql</w:t>
      </w:r>
      <w:proofErr w:type="spellEnd"/>
      <w:r w:rsidR="00400B67">
        <w:t xml:space="preserve"> </w:t>
      </w:r>
      <w:r w:rsidR="002E56BF">
        <w:t>(code à modifier)</w:t>
      </w:r>
    </w:p>
    <w:p w:rsidR="006A57E4" w:rsidRDefault="006A57E4" w:rsidP="006A57E4">
      <w:pPr>
        <w:pStyle w:val="Paragraphedeliste"/>
        <w:numPr>
          <w:ilvl w:val="0"/>
          <w:numId w:val="2"/>
        </w:numPr>
      </w:pPr>
      <w:r>
        <w:t>De</w:t>
      </w:r>
      <w:r w:rsidR="00990BD0">
        <w:t xml:space="preserve">s requêtes </w:t>
      </w:r>
      <w:r>
        <w:t xml:space="preserve">préparées pour éviter les injections </w:t>
      </w:r>
      <w:r w:rsidR="00762B82">
        <w:t>SQL</w:t>
      </w:r>
      <w:r>
        <w:t>.</w:t>
      </w:r>
    </w:p>
    <w:p w:rsidR="006A57E4" w:rsidRDefault="00762B82" w:rsidP="006A57E4">
      <w:pPr>
        <w:pStyle w:val="Paragraphedeliste"/>
        <w:numPr>
          <w:ilvl w:val="0"/>
          <w:numId w:val="2"/>
        </w:numPr>
      </w:pPr>
      <w:r>
        <w:t>Refonte</w:t>
      </w:r>
      <w:r w:rsidR="00400B67">
        <w:t xml:space="preserve"> de la base de données, uniformisation des champs qui n’ont pas le même </w:t>
      </w:r>
      <w:proofErr w:type="spellStart"/>
      <w:r w:rsidR="00400B67">
        <w:t>datatype</w:t>
      </w:r>
      <w:proofErr w:type="spellEnd"/>
      <w:r w:rsidR="00400B67">
        <w:t xml:space="preserve"> entre tables.</w:t>
      </w:r>
    </w:p>
    <w:p w:rsidR="00400B67" w:rsidRDefault="00400B67" w:rsidP="006A57E4">
      <w:pPr>
        <w:pStyle w:val="Paragraphedeliste"/>
        <w:numPr>
          <w:ilvl w:val="0"/>
          <w:numId w:val="2"/>
        </w:numPr>
      </w:pPr>
      <w:r>
        <w:t>Les index redondants</w:t>
      </w:r>
      <w:r w:rsidR="00762B82">
        <w:t xml:space="preserve"> ou absents.</w:t>
      </w:r>
    </w:p>
    <w:p w:rsidR="006A57E4" w:rsidRPr="006A57E4" w:rsidRDefault="006A57E4" w:rsidP="006A57E4">
      <w:pPr>
        <w:rPr>
          <w:b/>
        </w:rPr>
      </w:pPr>
      <w:r w:rsidRPr="006A57E4">
        <w:rPr>
          <w:b/>
        </w:rPr>
        <w:t>Temps de migration (</w:t>
      </w:r>
      <w:proofErr w:type="spellStart"/>
      <w:r w:rsidRPr="006A57E4">
        <w:rPr>
          <w:b/>
        </w:rPr>
        <w:t>ré-injection</w:t>
      </w:r>
      <w:proofErr w:type="spellEnd"/>
      <w:r w:rsidRPr="006A57E4">
        <w:rPr>
          <w:b/>
        </w:rPr>
        <w:t xml:space="preserve"> des données inclus) et modific</w:t>
      </w:r>
      <w:r w:rsidR="00695A6C">
        <w:rPr>
          <w:b/>
        </w:rPr>
        <w:t>ation du code en conséquence : 6</w:t>
      </w:r>
      <w:r w:rsidRPr="006A57E4">
        <w:rPr>
          <w:b/>
        </w:rPr>
        <w:t>0 jours</w:t>
      </w:r>
      <w:r w:rsidR="00ED0396">
        <w:rPr>
          <w:b/>
        </w:rPr>
        <w:t xml:space="preserve"> (L’ajout d’un ORM serait conseillé)</w:t>
      </w:r>
    </w:p>
    <w:p w:rsidR="00291F90" w:rsidRDefault="00B06558" w:rsidP="00696C4D">
      <w:pPr>
        <w:pStyle w:val="Titre2"/>
      </w:pPr>
      <w:r>
        <w:t xml:space="preserve">Utilisation d’un </w:t>
      </w:r>
      <w:proofErr w:type="gramStart"/>
      <w:r w:rsidR="00A367E8">
        <w:t>ORM  :</w:t>
      </w:r>
      <w:proofErr w:type="gramEnd"/>
      <w:r w:rsidR="00A367E8">
        <w:t xml:space="preserve"> </w:t>
      </w:r>
    </w:p>
    <w:p w:rsidR="009A270D" w:rsidRPr="00605C6F" w:rsidRDefault="00605C6F" w:rsidP="009A270D">
      <w:r>
        <w:t>La mise</w:t>
      </w:r>
      <w:r w:rsidR="009A270D">
        <w:t xml:space="preserve"> en place </w:t>
      </w:r>
      <w:r>
        <w:t xml:space="preserve">d’un </w:t>
      </w:r>
      <w:r w:rsidR="009A270D">
        <w:t xml:space="preserve">ORM type </w:t>
      </w:r>
      <w:proofErr w:type="spellStart"/>
      <w:r w:rsidR="009A270D">
        <w:rPr>
          <w:b/>
        </w:rPr>
        <w:t>Propel</w:t>
      </w:r>
      <w:proofErr w:type="spellEnd"/>
      <w:r w:rsidR="009A270D">
        <w:t xml:space="preserve"> ou </w:t>
      </w:r>
      <w:r w:rsidR="009A270D">
        <w:rPr>
          <w:b/>
        </w:rPr>
        <w:t>Do</w:t>
      </w:r>
      <w:r w:rsidR="009A270D" w:rsidRPr="009A270D">
        <w:rPr>
          <w:b/>
        </w:rPr>
        <w:t>ctrine</w:t>
      </w:r>
      <w:r>
        <w:rPr>
          <w:b/>
        </w:rPr>
        <w:t xml:space="preserve"> </w:t>
      </w:r>
      <w:r>
        <w:t>implique un remaniement de tout le code ayant accès à la base de données pour s’affranchir des requêtes SQL.</w:t>
      </w:r>
      <w:r w:rsidR="00695A6C">
        <w:t xml:space="preserve"> Cela implique la migration de la base MySQL vers PostgreSQL (le temps de migration est à cumuler)</w:t>
      </w:r>
    </w:p>
    <w:p w:rsidR="009A270D" w:rsidRPr="009A270D" w:rsidRDefault="009A270D" w:rsidP="009A270D">
      <w:pPr>
        <w:rPr>
          <w:b/>
        </w:rPr>
      </w:pPr>
      <w:r w:rsidRPr="009A270D">
        <w:rPr>
          <w:b/>
        </w:rPr>
        <w:t>Temps de mise en place</w:t>
      </w:r>
      <w:r>
        <w:rPr>
          <w:b/>
        </w:rPr>
        <w:t xml:space="preserve"> + tests </w:t>
      </w:r>
      <w:r w:rsidRPr="00B063DD">
        <w:rPr>
          <w:b/>
        </w:rPr>
        <w:t>manuels</w:t>
      </w:r>
      <w:r>
        <w:rPr>
          <w:b/>
        </w:rPr>
        <w:t xml:space="preserve"> de non régression</w:t>
      </w:r>
      <w:r w:rsidRPr="009A270D">
        <w:rPr>
          <w:b/>
        </w:rPr>
        <w:t xml:space="preserve">: </w:t>
      </w:r>
      <w:r w:rsidR="004B437F">
        <w:rPr>
          <w:b/>
        </w:rPr>
        <w:t>3</w:t>
      </w:r>
      <w:r w:rsidRPr="009A270D">
        <w:rPr>
          <w:b/>
        </w:rPr>
        <w:t>0 jours</w:t>
      </w:r>
      <w:r w:rsidR="00082232">
        <w:rPr>
          <w:b/>
        </w:rPr>
        <w:t xml:space="preserve"> + 60 jours</w:t>
      </w:r>
      <w:r w:rsidR="00395BEA">
        <w:rPr>
          <w:b/>
        </w:rPr>
        <w:t xml:space="preserve"> </w:t>
      </w:r>
      <w:r w:rsidR="00082232">
        <w:rPr>
          <w:b/>
        </w:rPr>
        <w:t xml:space="preserve">(migration en </w:t>
      </w:r>
      <w:proofErr w:type="spellStart"/>
      <w:r w:rsidR="00082232">
        <w:rPr>
          <w:b/>
        </w:rPr>
        <w:t>Postgresql</w:t>
      </w:r>
      <w:proofErr w:type="spellEnd"/>
      <w:r w:rsidR="00082232">
        <w:rPr>
          <w:b/>
        </w:rPr>
        <w:t>)</w:t>
      </w:r>
    </w:p>
    <w:p w:rsidR="003658E3" w:rsidRDefault="00A367E8" w:rsidP="009D0B1D">
      <w:pPr>
        <w:pStyle w:val="Titre2"/>
      </w:pPr>
      <w:r>
        <w:t xml:space="preserve">Migration </w:t>
      </w:r>
      <w:r w:rsidR="003658E3">
        <w:t xml:space="preserve">de </w:t>
      </w:r>
      <w:proofErr w:type="spellStart"/>
      <w:r w:rsidR="003658E3">
        <w:t>php</w:t>
      </w:r>
      <w:proofErr w:type="spellEnd"/>
      <w:r w:rsidR="003658E3">
        <w:t xml:space="preserve"> 5 à </w:t>
      </w:r>
      <w:proofErr w:type="spellStart"/>
      <w:r>
        <w:t>php</w:t>
      </w:r>
      <w:proofErr w:type="spellEnd"/>
      <w:r>
        <w:t xml:space="preserve"> 7 :</w:t>
      </w:r>
    </w:p>
    <w:p w:rsidR="00291F90" w:rsidRDefault="003658E3" w:rsidP="0050498E">
      <w:pPr>
        <w:pStyle w:val="Sansinterligne"/>
        <w:numPr>
          <w:ilvl w:val="0"/>
          <w:numId w:val="2"/>
        </w:numPr>
      </w:pPr>
      <w:r>
        <w:t xml:space="preserve">Les </w:t>
      </w:r>
      <w:proofErr w:type="spellStart"/>
      <w:r w:rsidR="00A367E8">
        <w:t>magic</w:t>
      </w:r>
      <w:proofErr w:type="spellEnd"/>
      <w:r w:rsidR="00A367E8">
        <w:t xml:space="preserve"> </w:t>
      </w:r>
      <w:proofErr w:type="spellStart"/>
      <w:r w:rsidR="00A367E8">
        <w:t>quotes</w:t>
      </w:r>
      <w:proofErr w:type="spellEnd"/>
      <w:r w:rsidR="00D640F5">
        <w:t xml:space="preserve"> (3 sortes de </w:t>
      </w:r>
      <w:proofErr w:type="spellStart"/>
      <w:r w:rsidR="00D640F5">
        <w:t>magic_quotes</w:t>
      </w:r>
      <w:proofErr w:type="spellEnd"/>
      <w:r w:rsidR="00D640F5">
        <w:t>)</w:t>
      </w:r>
      <w:r w:rsidR="00A367E8">
        <w:t xml:space="preserve"> </w:t>
      </w:r>
      <w:r>
        <w:t>ont</w:t>
      </w:r>
      <w:r w:rsidR="00A367E8">
        <w:t xml:space="preserve"> été supprimé</w:t>
      </w:r>
      <w:r w:rsidR="00D640F5">
        <w:t>es</w:t>
      </w:r>
      <w:r>
        <w:t xml:space="preserve"> dans php5.4</w:t>
      </w:r>
      <w:r w:rsidR="000D14C7">
        <w:t xml:space="preserve">, il faut donc modifier le code en conséquence pour </w:t>
      </w:r>
      <w:r w:rsidR="00AC3C7E">
        <w:t>éviter</w:t>
      </w:r>
      <w:r w:rsidR="00484E80">
        <w:t xml:space="preserve"> les attaques types </w:t>
      </w:r>
      <w:r w:rsidR="00D640F5">
        <w:t>SQL</w:t>
      </w:r>
      <w:r w:rsidR="00484E80">
        <w:t xml:space="preserve"> injection.</w:t>
      </w:r>
      <w:r w:rsidR="00D640F5">
        <w:t xml:space="preserve"> (Un ORM est la solution idéale)</w:t>
      </w:r>
    </w:p>
    <w:p w:rsidR="0050498E" w:rsidRDefault="00FF1DE1" w:rsidP="0050498E">
      <w:pPr>
        <w:pStyle w:val="Paragraphedeliste"/>
        <w:numPr>
          <w:ilvl w:val="0"/>
          <w:numId w:val="2"/>
        </w:numPr>
      </w:pPr>
      <w:r>
        <w:t>Les fonctionnalités  dépréciées dans php7</w:t>
      </w:r>
      <w:r w:rsidR="00AC3C7E">
        <w:t xml:space="preserve"> devront être supprimées et remplacées</w:t>
      </w:r>
    </w:p>
    <w:p w:rsidR="0050498E" w:rsidRDefault="00FF1DE1" w:rsidP="0050498E">
      <w:pPr>
        <w:pStyle w:val="Paragraphedeliste"/>
        <w:numPr>
          <w:ilvl w:val="0"/>
          <w:numId w:val="2"/>
        </w:numPr>
      </w:pPr>
      <w:r>
        <w:t>Les fonctions modifiées dans php7</w:t>
      </w:r>
      <w:r w:rsidR="00AC3C7E">
        <w:t xml:space="preserve"> </w:t>
      </w:r>
      <w:proofErr w:type="gramStart"/>
      <w:r w:rsidR="00AC3C7E">
        <w:t>implique</w:t>
      </w:r>
      <w:proofErr w:type="gramEnd"/>
      <w:r w:rsidR="00AC3C7E">
        <w:t xml:space="preserve"> des modifications de code</w:t>
      </w:r>
    </w:p>
    <w:p w:rsidR="0050498E" w:rsidRDefault="00AC3C7E" w:rsidP="0050498E">
      <w:pPr>
        <w:pStyle w:val="Paragraphedeliste"/>
        <w:numPr>
          <w:ilvl w:val="0"/>
          <w:numId w:val="2"/>
        </w:numPr>
      </w:pPr>
      <w:r>
        <w:t>L’i</w:t>
      </w:r>
      <w:r w:rsidR="006A57E4">
        <w:t>ncohérence de l’encodage</w:t>
      </w:r>
      <w:r>
        <w:t>, revue de tout le code et harmonisation, l’utilisation des</w:t>
      </w:r>
      <w:r w:rsidR="006A57E4">
        <w:t xml:space="preserve"> balise</w:t>
      </w:r>
      <w:r>
        <w:t>s</w:t>
      </w:r>
      <w:r w:rsidR="006A57E4">
        <w:t xml:space="preserve"> &lt; ?</w:t>
      </w:r>
      <w:proofErr w:type="spellStart"/>
      <w:r w:rsidR="006A57E4">
        <w:t>php</w:t>
      </w:r>
      <w:proofErr w:type="spellEnd"/>
      <w:r w:rsidR="006A57E4">
        <w:t xml:space="preserve"> en place de &lt; </w:t>
      </w:r>
      <w:proofErr w:type="gramStart"/>
      <w:r w:rsidR="006A57E4">
        <w:t>?</w:t>
      </w:r>
      <w:r>
        <w:t>.</w:t>
      </w:r>
      <w:proofErr w:type="gramEnd"/>
    </w:p>
    <w:p w:rsidR="0050498E" w:rsidRDefault="006A57E4" w:rsidP="0050498E">
      <w:pPr>
        <w:pStyle w:val="Paragraphedeliste"/>
        <w:numPr>
          <w:ilvl w:val="0"/>
          <w:numId w:val="2"/>
        </w:numPr>
      </w:pPr>
      <w:r>
        <w:t>Fichier</w:t>
      </w:r>
      <w:r w:rsidR="00835E8C">
        <w:t>s</w:t>
      </w:r>
      <w:r>
        <w:t xml:space="preserve"> de configuration (passage au format </w:t>
      </w:r>
      <w:r w:rsidR="00DA4470">
        <w:t>YAML</w:t>
      </w:r>
      <w:r>
        <w:t>)</w:t>
      </w:r>
      <w:r w:rsidR="00835E8C">
        <w:t xml:space="preserve"> dans des répertoires non accessibles du navigateur, et non </w:t>
      </w:r>
      <w:r w:rsidR="00DA4470">
        <w:t>exécutables</w:t>
      </w:r>
      <w:r w:rsidR="00835E8C">
        <w:t>.</w:t>
      </w:r>
    </w:p>
    <w:p w:rsidR="0050498E" w:rsidRDefault="0050498E" w:rsidP="0050498E">
      <w:pPr>
        <w:pStyle w:val="Paragraphedeliste"/>
        <w:numPr>
          <w:ilvl w:val="0"/>
          <w:numId w:val="2"/>
        </w:numPr>
      </w:pPr>
      <w:r>
        <w:t xml:space="preserve">La gestion des exceptions </w:t>
      </w:r>
    </w:p>
    <w:p w:rsidR="00FF1DE1" w:rsidRDefault="00FF1DE1" w:rsidP="0050498E">
      <w:pPr>
        <w:ind w:left="360"/>
      </w:pPr>
      <w:r>
        <w:t xml:space="preserve">Un passage de </w:t>
      </w:r>
      <w:proofErr w:type="spellStart"/>
      <w:r>
        <w:t>php</w:t>
      </w:r>
      <w:proofErr w:type="spellEnd"/>
      <w:r>
        <w:t xml:space="preserve"> 5.3 à </w:t>
      </w:r>
      <w:proofErr w:type="spellStart"/>
      <w:r>
        <w:t>php</w:t>
      </w:r>
      <w:proofErr w:type="spellEnd"/>
      <w:r>
        <w:t xml:space="preserve"> 7 implique une montée de version par palier pour éviter de trop grandes difficultés de migration.</w:t>
      </w:r>
      <w:r w:rsidR="00182B9D">
        <w:t xml:space="preserve"> Même si des outils tel que </w:t>
      </w:r>
      <w:proofErr w:type="spellStart"/>
      <w:r w:rsidR="00182B9D" w:rsidRPr="0050498E">
        <w:rPr>
          <w:b/>
        </w:rPr>
        <w:t>Php</w:t>
      </w:r>
      <w:proofErr w:type="spellEnd"/>
      <w:r w:rsidR="00182B9D" w:rsidRPr="0050498E">
        <w:rPr>
          <w:b/>
        </w:rPr>
        <w:t xml:space="preserve"> 7 Mar ou Php7aid </w:t>
      </w:r>
      <w:r w:rsidR="00182B9D" w:rsidRPr="00182B9D">
        <w:t>existe</w:t>
      </w:r>
      <w:r w:rsidR="0050498E">
        <w:t>nt</w:t>
      </w:r>
      <w:r w:rsidR="00182B9D">
        <w:t xml:space="preserve"> et génère</w:t>
      </w:r>
      <w:r w:rsidR="0050498E">
        <w:t>nt</w:t>
      </w:r>
      <w:r w:rsidR="00182B9D">
        <w:t xml:space="preserve"> des rapports aidant à la migration.</w:t>
      </w:r>
    </w:p>
    <w:p w:rsidR="00FF1DE1" w:rsidRPr="009A270D" w:rsidRDefault="00FF1DE1" w:rsidP="00FF1DE1">
      <w:pPr>
        <w:rPr>
          <w:b/>
        </w:rPr>
      </w:pPr>
      <w:r w:rsidRPr="009A270D">
        <w:rPr>
          <w:b/>
        </w:rPr>
        <w:t>Temps de mise en place</w:t>
      </w:r>
      <w:r>
        <w:rPr>
          <w:b/>
        </w:rPr>
        <w:t xml:space="preserve"> + tests </w:t>
      </w:r>
      <w:r w:rsidRPr="00B063DD">
        <w:rPr>
          <w:b/>
        </w:rPr>
        <w:t>manuels</w:t>
      </w:r>
      <w:r>
        <w:rPr>
          <w:b/>
        </w:rPr>
        <w:t xml:space="preserve"> de non régression</w:t>
      </w:r>
      <w:r w:rsidRPr="009A270D">
        <w:rPr>
          <w:b/>
        </w:rPr>
        <w:t xml:space="preserve">: </w:t>
      </w:r>
      <w:r w:rsidR="004B437F">
        <w:rPr>
          <w:b/>
        </w:rPr>
        <w:t>3</w:t>
      </w:r>
      <w:r w:rsidRPr="009A270D">
        <w:rPr>
          <w:b/>
        </w:rPr>
        <w:t>0 jours</w:t>
      </w:r>
    </w:p>
    <w:p w:rsidR="00ED0396" w:rsidRDefault="00310D2D" w:rsidP="00ED0396">
      <w:pPr>
        <w:pStyle w:val="Titre2"/>
      </w:pPr>
      <w:r>
        <w:t>Gestion des erreurs</w:t>
      </w:r>
      <w:r w:rsidR="00400B67">
        <w:t xml:space="preserve"> </w:t>
      </w:r>
      <w:r w:rsidR="002E4F3C">
        <w:t>accès base de données</w:t>
      </w:r>
      <w:r w:rsidR="002E4F3C">
        <w:br/>
      </w:r>
    </w:p>
    <w:p w:rsidR="00777546" w:rsidRPr="00777546" w:rsidRDefault="00777546" w:rsidP="00400B67">
      <w:r>
        <w:t>Cette recommandation de l’audit implique la mise en place d’un ORM qui répondra à toutes les remarques concernant les transactions</w:t>
      </w:r>
      <w:r w:rsidR="006F16F2">
        <w:t xml:space="preserve"> et les accès concurrentiels</w:t>
      </w:r>
      <w:r>
        <w:t xml:space="preserve"> (Migration vers </w:t>
      </w:r>
      <w:r w:rsidR="00FC39B3">
        <w:t>PostgreSQL</w:t>
      </w:r>
      <w:r>
        <w:t>) et  la gestion des erreurs.</w:t>
      </w:r>
    </w:p>
    <w:p w:rsidR="00400B67" w:rsidRPr="00622969" w:rsidRDefault="002E4F3C" w:rsidP="00400B67">
      <w:pPr>
        <w:rPr>
          <w:b/>
        </w:rPr>
      </w:pPr>
      <w:proofErr w:type="spellStart"/>
      <w:r w:rsidRPr="00622969">
        <w:rPr>
          <w:b/>
        </w:rPr>
        <w:t>Cf</w:t>
      </w:r>
      <w:proofErr w:type="spellEnd"/>
      <w:r w:rsidR="00622969" w:rsidRPr="00622969">
        <w:rPr>
          <w:b/>
        </w:rPr>
        <w:t xml:space="preserve"> temps inclus</w:t>
      </w:r>
      <w:r w:rsidRPr="00622969">
        <w:rPr>
          <w:b/>
        </w:rPr>
        <w:t> : Mise en place d’un ORM.</w:t>
      </w:r>
    </w:p>
    <w:p w:rsidR="006A57E4" w:rsidRPr="00400B67" w:rsidRDefault="006A57E4" w:rsidP="00400B67"/>
    <w:p w:rsidR="00E47F72" w:rsidRDefault="00E47F72" w:rsidP="00E47F72">
      <w:pPr>
        <w:pStyle w:val="Titre2"/>
      </w:pPr>
      <w:r>
        <w:t>Ecriture de tests unitaires et fonctionnels (pas de test d’intégrations)</w:t>
      </w:r>
    </w:p>
    <w:p w:rsidR="00E47F72" w:rsidRDefault="00F25B5B">
      <w:r>
        <w:t xml:space="preserve">Pour cette recommandation si redéveloppement avec le Framework </w:t>
      </w:r>
      <w:proofErr w:type="spellStart"/>
      <w:r>
        <w:t>Symfony</w:t>
      </w:r>
      <w:proofErr w:type="spellEnd"/>
      <w:r>
        <w:t xml:space="preserve"> (SK PHP CNAM) </w:t>
      </w:r>
      <w:proofErr w:type="spellStart"/>
      <w:r>
        <w:t>PhpUnit</w:t>
      </w:r>
      <w:proofErr w:type="spellEnd"/>
      <w:r>
        <w:t xml:space="preserve"> sera utilisé. Faire des tests uni</w:t>
      </w:r>
      <w:r w:rsidR="002E56BF">
        <w:t>taires ou fonctionnels sans le F</w:t>
      </w:r>
      <w:r>
        <w:t xml:space="preserve">ramework et sans réécriture est une solution longue et difficile à mettre en place sur un code </w:t>
      </w:r>
      <w:r w:rsidR="002E56BF">
        <w:t>morcelé</w:t>
      </w:r>
      <w:r w:rsidR="0056655D">
        <w:t xml:space="preserve"> ne respectant pas les standards MVC</w:t>
      </w:r>
      <w:r>
        <w:t>.</w:t>
      </w:r>
    </w:p>
    <w:p w:rsidR="00E47F72" w:rsidRPr="00E47F72" w:rsidRDefault="00E47F72">
      <w:pPr>
        <w:rPr>
          <w:b/>
        </w:rPr>
      </w:pPr>
      <w:r w:rsidRPr="00E47F72">
        <w:rPr>
          <w:b/>
        </w:rPr>
        <w:t>Temps d’écriture des tests pour couvrir tout le code : 60 jours</w:t>
      </w:r>
    </w:p>
    <w:p w:rsidR="00E47F72" w:rsidRDefault="00E47F72"/>
    <w:p w:rsidR="00622969" w:rsidRDefault="00DA4470" w:rsidP="005C4D6B">
      <w:pPr>
        <w:pStyle w:val="Titre2"/>
      </w:pPr>
      <w:r>
        <w:t>Framework de l</w:t>
      </w:r>
      <w:r w:rsidR="00622969">
        <w:t xml:space="preserve">ogs </w:t>
      </w:r>
    </w:p>
    <w:p w:rsidR="00484E80" w:rsidRDefault="00484E80">
      <w:r>
        <w:t>Framework de logs : (traçabilité) Mise en place d</w:t>
      </w:r>
      <w:r w:rsidR="000A73E2">
        <w:t>’une librairie de gestion des logs type</w:t>
      </w:r>
      <w:r>
        <w:t xml:space="preserve"> </w:t>
      </w:r>
      <w:r w:rsidR="000A73E2">
        <w:t>« </w:t>
      </w:r>
      <w:proofErr w:type="spellStart"/>
      <w:r>
        <w:t>monolog</w:t>
      </w:r>
      <w:proofErr w:type="spellEnd"/>
      <w:r w:rsidR="000A73E2">
        <w:t> »</w:t>
      </w:r>
      <w:r w:rsidR="00616ED4">
        <w:t>, pour cette re</w:t>
      </w:r>
      <w:r w:rsidR="000A73E2">
        <w:t xml:space="preserve">commandation, l’implémenter sans Framework n’est pas une solution </w:t>
      </w:r>
      <w:r w:rsidR="00B06558">
        <w:t>propre</w:t>
      </w:r>
      <w:r w:rsidR="000A73E2">
        <w:t>.</w:t>
      </w:r>
    </w:p>
    <w:p w:rsidR="00622969" w:rsidRPr="00622969" w:rsidRDefault="00622969" w:rsidP="00622969">
      <w:pPr>
        <w:pStyle w:val="Sansinterligne"/>
        <w:rPr>
          <w:b/>
        </w:rPr>
      </w:pPr>
      <w:proofErr w:type="spellStart"/>
      <w:r w:rsidRPr="00622969">
        <w:rPr>
          <w:b/>
        </w:rPr>
        <w:t>Cf</w:t>
      </w:r>
      <w:proofErr w:type="spellEnd"/>
      <w:r w:rsidRPr="00622969">
        <w:rPr>
          <w:b/>
        </w:rPr>
        <w:t xml:space="preserve"> temps inclus : Remaniement pour arborescence type MVC</w:t>
      </w:r>
    </w:p>
    <w:p w:rsidR="00622969" w:rsidRDefault="00622969">
      <w:r>
        <w:t xml:space="preserve"> </w:t>
      </w:r>
    </w:p>
    <w:p w:rsidR="002F53FE" w:rsidRDefault="002F53FE" w:rsidP="00696C4D">
      <w:pPr>
        <w:pStyle w:val="Titre2"/>
      </w:pPr>
      <w:r>
        <w:t xml:space="preserve">Sécurité </w:t>
      </w:r>
      <w:r w:rsidR="00DA4470">
        <w:t>/ Authentification</w:t>
      </w:r>
    </w:p>
    <w:p w:rsidR="002A02A1" w:rsidRPr="002A02A1" w:rsidRDefault="00617A60" w:rsidP="002A02A1">
      <w:pPr>
        <w:pStyle w:val="Paragraphedeliste"/>
        <w:numPr>
          <w:ilvl w:val="0"/>
          <w:numId w:val="2"/>
        </w:numPr>
        <w:rPr>
          <w:b/>
        </w:rPr>
      </w:pPr>
      <w:r>
        <w:t xml:space="preserve">Sans Framework MVC: </w:t>
      </w:r>
      <w:r w:rsidR="00E14419">
        <w:t>inclusion automatique</w:t>
      </w:r>
      <w:r>
        <w:t xml:space="preserve"> de fichiers de sécurité</w:t>
      </w:r>
      <w:r w:rsidR="00A55250">
        <w:br/>
        <w:t>Politique de mot de passe (renouvellement</w:t>
      </w:r>
      <w:r w:rsidR="00E14419">
        <w:t>, nombre d’essais, minimum de caractères</w:t>
      </w:r>
      <w:r w:rsidR="00A55250">
        <w:t>)</w:t>
      </w:r>
    </w:p>
    <w:p w:rsidR="00EA2FCD" w:rsidRPr="00EA2FCD" w:rsidRDefault="00EA2FCD" w:rsidP="002A02A1">
      <w:pPr>
        <w:pStyle w:val="Paragraphedeliste"/>
        <w:numPr>
          <w:ilvl w:val="0"/>
          <w:numId w:val="2"/>
        </w:numPr>
        <w:rPr>
          <w:b/>
        </w:rPr>
      </w:pPr>
      <w:r>
        <w:t>Passage en HTTPS </w:t>
      </w:r>
    </w:p>
    <w:p w:rsidR="003C62B5" w:rsidRPr="003C62B5" w:rsidRDefault="00D05684" w:rsidP="002A02A1">
      <w:pPr>
        <w:pStyle w:val="Paragraphedeliste"/>
        <w:numPr>
          <w:ilvl w:val="0"/>
          <w:numId w:val="2"/>
        </w:numPr>
        <w:rPr>
          <w:b/>
        </w:rPr>
      </w:pPr>
      <w:r>
        <w:t>Traçabilité applicative</w:t>
      </w:r>
    </w:p>
    <w:p w:rsidR="002A02A1" w:rsidRDefault="003C62B5" w:rsidP="002A02A1">
      <w:pPr>
        <w:pStyle w:val="Paragraphedeliste"/>
        <w:numPr>
          <w:ilvl w:val="0"/>
          <w:numId w:val="2"/>
        </w:numPr>
        <w:rPr>
          <w:b/>
        </w:rPr>
      </w:pPr>
      <w:r>
        <w:t xml:space="preserve">Fichier de configuration au format </w:t>
      </w:r>
      <w:proofErr w:type="spellStart"/>
      <w:r>
        <w:t>yaml</w:t>
      </w:r>
      <w:proofErr w:type="spellEnd"/>
      <w:r>
        <w:t xml:space="preserve"> et non accessibles par le navigateur</w:t>
      </w:r>
      <w:r w:rsidR="002A02A1">
        <w:br/>
      </w:r>
    </w:p>
    <w:p w:rsidR="00E14419" w:rsidRPr="002A02A1" w:rsidRDefault="00E14419" w:rsidP="002A02A1">
      <w:pPr>
        <w:ind w:left="360"/>
        <w:rPr>
          <w:b/>
        </w:rPr>
      </w:pPr>
      <w:r w:rsidRPr="002A02A1">
        <w:rPr>
          <w:b/>
        </w:rPr>
        <w:t xml:space="preserve">Temps : </w:t>
      </w:r>
      <w:r w:rsidR="00C77EEC">
        <w:rPr>
          <w:b/>
        </w:rPr>
        <w:t>20</w:t>
      </w:r>
      <w:r w:rsidR="0050498E" w:rsidRPr="002A02A1">
        <w:rPr>
          <w:b/>
        </w:rPr>
        <w:t xml:space="preserve"> jours</w:t>
      </w:r>
    </w:p>
    <w:p w:rsidR="004F5DC0" w:rsidRDefault="004F5DC0" w:rsidP="004F5DC0">
      <w:pPr>
        <w:pStyle w:val="Titre2"/>
      </w:pPr>
      <w:r>
        <w:t>Documentation (installation, utilisateur)</w:t>
      </w:r>
    </w:p>
    <w:p w:rsidR="004F5DC0" w:rsidRDefault="004F5DC0" w:rsidP="004F5DC0">
      <w:pPr>
        <w:rPr>
          <w:b/>
        </w:rPr>
      </w:pPr>
      <w:r w:rsidRPr="004F5DC0">
        <w:rPr>
          <w:b/>
        </w:rPr>
        <w:t>Temps : 10 jours</w:t>
      </w:r>
    </w:p>
    <w:p w:rsidR="00FB07D0" w:rsidRDefault="00FB07D0" w:rsidP="00FB07D0">
      <w:pPr>
        <w:pStyle w:val="Titre2"/>
      </w:pPr>
      <w:r>
        <w:t>Recette et Assi</w:t>
      </w:r>
      <w:r w:rsidR="00E14419">
        <w:t>s</w:t>
      </w:r>
      <w:r>
        <w:t xml:space="preserve">tance à MOA </w:t>
      </w:r>
    </w:p>
    <w:p w:rsidR="00FB07D0" w:rsidRPr="004F5DC0" w:rsidRDefault="00D319FF" w:rsidP="004F5DC0">
      <w:pPr>
        <w:rPr>
          <w:b/>
        </w:rPr>
      </w:pPr>
      <w:r>
        <w:rPr>
          <w:b/>
        </w:rPr>
        <w:t>Temps : 3</w:t>
      </w:r>
      <w:r w:rsidR="00FB07D0">
        <w:rPr>
          <w:b/>
        </w:rPr>
        <w:t>0 jours</w:t>
      </w:r>
    </w:p>
    <w:p w:rsidR="002F53FE" w:rsidRDefault="002F53FE" w:rsidP="002F53FE">
      <w:pPr>
        <w:ind w:firstLine="708"/>
      </w:pPr>
    </w:p>
    <w:sectPr w:rsidR="002F53F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23D" w:rsidRDefault="00DF223D" w:rsidP="00291F90">
      <w:pPr>
        <w:spacing w:after="0" w:line="240" w:lineRule="auto"/>
      </w:pPr>
      <w:r>
        <w:separator/>
      </w:r>
    </w:p>
  </w:endnote>
  <w:endnote w:type="continuationSeparator" w:id="0">
    <w:p w:rsidR="00DF223D" w:rsidRDefault="00DF223D" w:rsidP="0029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521286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541"/>
          <w:gridCol w:w="2202"/>
          <w:gridCol w:w="3545"/>
        </w:tblGrid>
        <w:tr w:rsidR="00291F90" w:rsidRPr="008B6A2F" w:rsidTr="00291F90">
          <w:tc>
            <w:tcPr>
              <w:tcW w:w="3541" w:type="dxa"/>
              <w:tcBorders>
                <w:right w:val="single" w:sz="4" w:space="0" w:color="auto"/>
              </w:tcBorders>
            </w:tcPr>
            <w:p w:rsidR="00291F90" w:rsidRPr="008B6A2F" w:rsidRDefault="00291F90" w:rsidP="0069282B">
              <w:pPr>
                <w:autoSpaceDE w:val="0"/>
                <w:autoSpaceDN w:val="0"/>
                <w:adjustRightInd w:val="0"/>
                <w:rPr>
                  <w:rFonts w:ascii="Century Gothic" w:hAnsi="Century Gothic"/>
                  <w:i/>
                  <w:color w:val="000000"/>
                  <w:szCs w:val="24"/>
                  <w:lang w:eastAsia="fr-FR"/>
                </w:rPr>
              </w:pPr>
              <w:r w:rsidRPr="00D40329">
                <w:rPr>
                  <w:rFonts w:ascii="Century Gothic" w:hAnsi="Century Gothic"/>
                  <w:i/>
                  <w:noProof/>
                  <w:color w:val="000000"/>
                  <w:sz w:val="16"/>
                  <w:szCs w:val="24"/>
                  <w:lang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C8255F5" wp14:editId="2F289D0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172247</wp:posOffset>
                        </wp:positionV>
                        <wp:extent cx="6600825" cy="0"/>
                        <wp:effectExtent l="0" t="0" r="9525" b="19050"/>
                        <wp:wrapNone/>
                        <wp:docPr id="12" name="Connecteur droit 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6600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id="Connecteur droit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519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" strokecolor="#4579b8 [3044]"/>
                    </w:pict>
                  </mc:Fallback>
                </mc:AlternateContent>
              </w:r>
              <w:r w:rsidRPr="008906A4">
                <w:rPr>
                  <w:rFonts w:ascii="Century Gothic" w:hAnsi="Century Gothic"/>
                  <w:i/>
                  <w:color w:val="000000"/>
                  <w:sz w:val="16"/>
                  <w:szCs w:val="24"/>
                  <w:lang w:eastAsia="fr-FR"/>
                </w:rPr>
                <w:t>CPAM de la Loire-Atlantique</w:t>
              </w:r>
            </w:p>
          </w:tc>
          <w:tc>
            <w:tcPr>
              <w:tcW w:w="2202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</w:tcPr>
            <w:p w:rsidR="00291F90" w:rsidRPr="008B6A2F" w:rsidRDefault="00291F90" w:rsidP="0069282B">
              <w:pPr>
                <w:autoSpaceDE w:val="0"/>
                <w:autoSpaceDN w:val="0"/>
                <w:adjustRightInd w:val="0"/>
                <w:jc w:val="center"/>
                <w:rPr>
                  <w:rFonts w:ascii="Century Gothic" w:hAnsi="Century Gothic"/>
                  <w:b/>
                  <w:color w:val="000000"/>
                  <w:szCs w:val="24"/>
                  <w:lang w:eastAsia="fr-FR"/>
                </w:rPr>
              </w:pPr>
              <w:r>
                <w:rPr>
                  <w:rFonts w:ascii="Century Gothic" w:hAnsi="Century Gothic"/>
                  <w:b/>
                  <w:color w:val="000000"/>
                  <w:szCs w:val="24"/>
                  <w:lang w:eastAsia="fr-FR"/>
                </w:rPr>
                <w:t>RESTREINT</w:t>
              </w:r>
            </w:p>
          </w:tc>
          <w:tc>
            <w:tcPr>
              <w:tcW w:w="3545" w:type="dxa"/>
              <w:tcBorders>
                <w:left w:val="single" w:sz="4" w:space="0" w:color="auto"/>
              </w:tcBorders>
            </w:tcPr>
            <w:p w:rsidR="00291F90" w:rsidRPr="008B6A2F" w:rsidRDefault="00291F90" w:rsidP="006307EC">
              <w:pPr>
                <w:autoSpaceDE w:val="0"/>
                <w:autoSpaceDN w:val="0"/>
                <w:adjustRightInd w:val="0"/>
                <w:jc w:val="right"/>
                <w:rPr>
                  <w:rFonts w:ascii="Century Gothic" w:hAnsi="Century Gothic"/>
                  <w:i/>
                  <w:color w:val="000000"/>
                  <w:szCs w:val="24"/>
                  <w:lang w:eastAsia="fr-FR"/>
                </w:rPr>
              </w:pPr>
              <w:r>
                <w:rPr>
                  <w:rFonts w:ascii="Century Gothic" w:hAnsi="Century Gothic"/>
                  <w:i/>
                  <w:color w:val="000000"/>
                  <w:sz w:val="16"/>
                  <w:szCs w:val="24"/>
                  <w:lang w:eastAsia="fr-FR"/>
                </w:rPr>
                <w:t xml:space="preserve">Imprimé le </w:t>
              </w:r>
              <w:r>
                <w:rPr>
                  <w:rFonts w:ascii="Century Gothic" w:hAnsi="Century Gothic"/>
                  <w:i/>
                  <w:color w:val="000000"/>
                  <w:sz w:val="16"/>
                  <w:szCs w:val="24"/>
                  <w:lang w:eastAsia="fr-FR"/>
                </w:rPr>
                <w:fldChar w:fldCharType="begin"/>
              </w:r>
              <w:r>
                <w:rPr>
                  <w:rFonts w:ascii="Century Gothic" w:hAnsi="Century Gothic"/>
                  <w:i/>
                  <w:color w:val="000000"/>
                  <w:sz w:val="16"/>
                  <w:szCs w:val="24"/>
                  <w:lang w:eastAsia="fr-FR"/>
                </w:rPr>
                <w:instrText xml:space="preserve"> PRINTDATE  \@ "dddd d MMMM yyyy"  \* MERGEFORMAT </w:instrText>
              </w:r>
              <w:r>
                <w:rPr>
                  <w:rFonts w:ascii="Century Gothic" w:hAnsi="Century Gothic"/>
                  <w:i/>
                  <w:color w:val="000000"/>
                  <w:sz w:val="16"/>
                  <w:szCs w:val="24"/>
                  <w:lang w:eastAsia="fr-FR"/>
                </w:rPr>
                <w:fldChar w:fldCharType="separate"/>
              </w:r>
              <w:r>
                <w:rPr>
                  <w:rFonts w:ascii="Century Gothic" w:hAnsi="Century Gothic"/>
                  <w:i/>
                  <w:noProof/>
                  <w:color w:val="000000"/>
                  <w:sz w:val="16"/>
                  <w:szCs w:val="24"/>
                  <w:lang w:eastAsia="fr-FR"/>
                </w:rPr>
                <w:t>XXX 0 XXX 0000</w:t>
              </w:r>
              <w:r>
                <w:rPr>
                  <w:rFonts w:ascii="Century Gothic" w:hAnsi="Century Gothic"/>
                  <w:i/>
                  <w:color w:val="000000"/>
                  <w:sz w:val="16"/>
                  <w:szCs w:val="24"/>
                  <w:lang w:eastAsia="fr-FR"/>
                </w:rPr>
                <w:fldChar w:fldCharType="end"/>
              </w:r>
              <w:r>
                <w:rPr>
                  <w:rFonts w:ascii="Century Gothic" w:hAnsi="Century Gothic"/>
                  <w:i/>
                  <w:color w:val="000000"/>
                  <w:sz w:val="16"/>
                  <w:szCs w:val="24"/>
                  <w:lang w:eastAsia="fr-FR"/>
                </w:rPr>
                <w:t xml:space="preserve"> - </w:t>
              </w:r>
              <w:r>
                <w:rPr>
                  <w:rFonts w:ascii="Century Gothic" w:hAnsi="Century Gothic"/>
                  <w:i/>
                  <w:color w:val="000000"/>
                  <w:sz w:val="16"/>
                  <w:szCs w:val="24"/>
                  <w:lang w:eastAsia="fr-FR"/>
                </w:rPr>
                <w:fldChar w:fldCharType="begin"/>
              </w:r>
              <w:r>
                <w:rPr>
                  <w:rFonts w:ascii="Century Gothic" w:hAnsi="Century Gothic"/>
                  <w:i/>
                  <w:color w:val="000000"/>
                  <w:sz w:val="16"/>
                  <w:szCs w:val="24"/>
                  <w:lang w:eastAsia="fr-FR"/>
                </w:rPr>
                <w:instrText xml:space="preserve"> USERNAME  \* Upper  \* MERGEFORMAT </w:instrText>
              </w:r>
              <w:r>
                <w:rPr>
                  <w:rFonts w:ascii="Century Gothic" w:hAnsi="Century Gothic"/>
                  <w:i/>
                  <w:color w:val="000000"/>
                  <w:sz w:val="16"/>
                  <w:szCs w:val="24"/>
                  <w:lang w:eastAsia="fr-FR"/>
                </w:rPr>
                <w:fldChar w:fldCharType="separate"/>
              </w:r>
              <w:r>
                <w:rPr>
                  <w:rFonts w:ascii="Century Gothic" w:hAnsi="Century Gothic"/>
                  <w:i/>
                  <w:color w:val="000000"/>
                  <w:sz w:val="16"/>
                  <w:szCs w:val="24"/>
                  <w:lang w:eastAsia="fr-FR"/>
                </w:rPr>
                <w:fldChar w:fldCharType="end"/>
              </w:r>
            </w:p>
          </w:tc>
        </w:tr>
      </w:tbl>
      <w:p w:rsidR="00291F90" w:rsidRDefault="00291F90" w:rsidP="00291F90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2E63905" wp14:editId="4526349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91F90" w:rsidRDefault="00291F90" w:rsidP="00291F9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53BD8" w:rsidRPr="00153BD8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291F90" w:rsidRDefault="00291F90" w:rsidP="00291F9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53BD8" w:rsidRPr="00153BD8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23D" w:rsidRDefault="00DF223D" w:rsidP="00291F90">
      <w:pPr>
        <w:spacing w:after="0" w:line="240" w:lineRule="auto"/>
      </w:pPr>
      <w:r>
        <w:separator/>
      </w:r>
    </w:p>
  </w:footnote>
  <w:footnote w:type="continuationSeparator" w:id="0">
    <w:p w:rsidR="00DF223D" w:rsidRDefault="00DF223D" w:rsidP="00291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30B"/>
    <w:multiLevelType w:val="hybridMultilevel"/>
    <w:tmpl w:val="C8D897EA"/>
    <w:lvl w:ilvl="0" w:tplc="CA781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E2786"/>
    <w:multiLevelType w:val="hybridMultilevel"/>
    <w:tmpl w:val="E41818C4"/>
    <w:lvl w:ilvl="0" w:tplc="CA781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F0490"/>
    <w:multiLevelType w:val="hybridMultilevel"/>
    <w:tmpl w:val="4B22D742"/>
    <w:lvl w:ilvl="0" w:tplc="CA781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164B4"/>
    <w:multiLevelType w:val="hybridMultilevel"/>
    <w:tmpl w:val="0E727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46ACA"/>
    <w:multiLevelType w:val="hybridMultilevel"/>
    <w:tmpl w:val="3738E1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C6229"/>
    <w:multiLevelType w:val="hybridMultilevel"/>
    <w:tmpl w:val="2BCA383C"/>
    <w:lvl w:ilvl="0" w:tplc="B4CED4A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16855D8"/>
    <w:multiLevelType w:val="hybridMultilevel"/>
    <w:tmpl w:val="401CF748"/>
    <w:lvl w:ilvl="0" w:tplc="CA781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63813"/>
    <w:multiLevelType w:val="hybridMultilevel"/>
    <w:tmpl w:val="EA601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F6C48"/>
    <w:multiLevelType w:val="hybridMultilevel"/>
    <w:tmpl w:val="D2323D82"/>
    <w:lvl w:ilvl="0" w:tplc="A2D2EA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38"/>
    <w:rsid w:val="000044C6"/>
    <w:rsid w:val="00082232"/>
    <w:rsid w:val="000A73E2"/>
    <w:rsid w:val="000D14C7"/>
    <w:rsid w:val="000E0AC8"/>
    <w:rsid w:val="00153BD8"/>
    <w:rsid w:val="00182B9D"/>
    <w:rsid w:val="001F44D0"/>
    <w:rsid w:val="001F7C15"/>
    <w:rsid w:val="00206069"/>
    <w:rsid w:val="0024660E"/>
    <w:rsid w:val="00275691"/>
    <w:rsid w:val="00291F90"/>
    <w:rsid w:val="002A02A1"/>
    <w:rsid w:val="002E4F3C"/>
    <w:rsid w:val="002E56BF"/>
    <w:rsid w:val="002F53FE"/>
    <w:rsid w:val="00310D2D"/>
    <w:rsid w:val="00314786"/>
    <w:rsid w:val="00341FA4"/>
    <w:rsid w:val="003535E7"/>
    <w:rsid w:val="003658E3"/>
    <w:rsid w:val="00395BEA"/>
    <w:rsid w:val="003C62B5"/>
    <w:rsid w:val="00400B67"/>
    <w:rsid w:val="0045363B"/>
    <w:rsid w:val="00484E80"/>
    <w:rsid w:val="004A65F7"/>
    <w:rsid w:val="004B437F"/>
    <w:rsid w:val="004D4D33"/>
    <w:rsid w:val="004F5DC0"/>
    <w:rsid w:val="0050498E"/>
    <w:rsid w:val="0056655D"/>
    <w:rsid w:val="00576E38"/>
    <w:rsid w:val="005A3838"/>
    <w:rsid w:val="005C4D6B"/>
    <w:rsid w:val="005F6608"/>
    <w:rsid w:val="00605C6F"/>
    <w:rsid w:val="00616ED4"/>
    <w:rsid w:val="00617A60"/>
    <w:rsid w:val="00622969"/>
    <w:rsid w:val="006307EC"/>
    <w:rsid w:val="00655DAD"/>
    <w:rsid w:val="00686805"/>
    <w:rsid w:val="00695A6C"/>
    <w:rsid w:val="00696C4D"/>
    <w:rsid w:val="006A57E4"/>
    <w:rsid w:val="006D505E"/>
    <w:rsid w:val="006D63B2"/>
    <w:rsid w:val="006F16F2"/>
    <w:rsid w:val="0075407E"/>
    <w:rsid w:val="00754182"/>
    <w:rsid w:val="00762B82"/>
    <w:rsid w:val="00777546"/>
    <w:rsid w:val="007C5E07"/>
    <w:rsid w:val="007E067A"/>
    <w:rsid w:val="007F1C02"/>
    <w:rsid w:val="00827D84"/>
    <w:rsid w:val="00835E8C"/>
    <w:rsid w:val="008C574E"/>
    <w:rsid w:val="00974810"/>
    <w:rsid w:val="00981DF4"/>
    <w:rsid w:val="00990BD0"/>
    <w:rsid w:val="009A270D"/>
    <w:rsid w:val="009D0B1D"/>
    <w:rsid w:val="00A367E8"/>
    <w:rsid w:val="00A55250"/>
    <w:rsid w:val="00AC3C7E"/>
    <w:rsid w:val="00B063DD"/>
    <w:rsid w:val="00B06558"/>
    <w:rsid w:val="00B402E4"/>
    <w:rsid w:val="00B67F23"/>
    <w:rsid w:val="00BA4B5E"/>
    <w:rsid w:val="00C77EEC"/>
    <w:rsid w:val="00CF79D0"/>
    <w:rsid w:val="00D03110"/>
    <w:rsid w:val="00D05684"/>
    <w:rsid w:val="00D319FF"/>
    <w:rsid w:val="00D640F5"/>
    <w:rsid w:val="00DA4470"/>
    <w:rsid w:val="00DA6079"/>
    <w:rsid w:val="00DC2FAB"/>
    <w:rsid w:val="00DD0A8F"/>
    <w:rsid w:val="00DF1044"/>
    <w:rsid w:val="00DF223D"/>
    <w:rsid w:val="00E074A1"/>
    <w:rsid w:val="00E14419"/>
    <w:rsid w:val="00E36B08"/>
    <w:rsid w:val="00E37158"/>
    <w:rsid w:val="00E47F72"/>
    <w:rsid w:val="00EA2FCD"/>
    <w:rsid w:val="00ED0396"/>
    <w:rsid w:val="00F210F8"/>
    <w:rsid w:val="00F226B3"/>
    <w:rsid w:val="00F25B5B"/>
    <w:rsid w:val="00FA43E9"/>
    <w:rsid w:val="00FB07D0"/>
    <w:rsid w:val="00FC39B3"/>
    <w:rsid w:val="00FE4EC3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C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2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53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91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1F90"/>
  </w:style>
  <w:style w:type="paragraph" w:styleId="Pieddepage">
    <w:name w:val="footer"/>
    <w:basedOn w:val="Normal"/>
    <w:link w:val="PieddepageCar"/>
    <w:uiPriority w:val="99"/>
    <w:unhideWhenUsed/>
    <w:rsid w:val="00291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1F90"/>
  </w:style>
  <w:style w:type="paragraph" w:styleId="Textedebulles">
    <w:name w:val="Balloon Text"/>
    <w:basedOn w:val="Normal"/>
    <w:link w:val="TextedebullesCar"/>
    <w:uiPriority w:val="99"/>
    <w:semiHidden/>
    <w:unhideWhenUsed/>
    <w:rsid w:val="0029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F9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9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96C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eintense">
    <w:name w:val="Intense Emphasis"/>
    <w:basedOn w:val="Policepardfaut"/>
    <w:uiPriority w:val="21"/>
    <w:qFormat/>
    <w:rsid w:val="00341FA4"/>
    <w:rPr>
      <w:b/>
      <w:bCs/>
      <w:i/>
      <w:iCs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6229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6229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C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2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53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91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1F90"/>
  </w:style>
  <w:style w:type="paragraph" w:styleId="Pieddepage">
    <w:name w:val="footer"/>
    <w:basedOn w:val="Normal"/>
    <w:link w:val="PieddepageCar"/>
    <w:uiPriority w:val="99"/>
    <w:unhideWhenUsed/>
    <w:rsid w:val="00291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1F90"/>
  </w:style>
  <w:style w:type="paragraph" w:styleId="Textedebulles">
    <w:name w:val="Balloon Text"/>
    <w:basedOn w:val="Normal"/>
    <w:link w:val="TextedebullesCar"/>
    <w:uiPriority w:val="99"/>
    <w:semiHidden/>
    <w:unhideWhenUsed/>
    <w:rsid w:val="0029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F9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9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96C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eintense">
    <w:name w:val="Intense Emphasis"/>
    <w:basedOn w:val="Policepardfaut"/>
    <w:uiPriority w:val="21"/>
    <w:qFormat/>
    <w:rsid w:val="00341FA4"/>
    <w:rPr>
      <w:b/>
      <w:bCs/>
      <w:i/>
      <w:iCs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6229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622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 LUC</dc:creator>
  <cp:lastModifiedBy>VALLET LUC</cp:lastModifiedBy>
  <cp:revision>78</cp:revision>
  <dcterms:created xsi:type="dcterms:W3CDTF">2018-07-11T10:30:00Z</dcterms:created>
  <dcterms:modified xsi:type="dcterms:W3CDTF">2018-07-19T08:02:00Z</dcterms:modified>
</cp:coreProperties>
</file>