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600"/>
      </w:pPr>
    </w:p>
    <w:p>
      <w:pPr>
        <w:jc w:val="center"/>
      </w:pPr>
      <w:r>
        <w:rPr>
          <w:rFonts w:ascii="Arial" w:cs="Arial" w:eastAsia="Arial" w:hAnsi="Arial"/>
          <w:b/>
          <w:bCs/>
          <w:color w:val="1a365d"/>
          <w:sz w:val="56"/>
          <w:szCs w:val="56"/>
        </w:rPr>
        <w:t xml:space="preserve">PROJECT PROPOSAL</w:t>
      </w:r>
    </w:p>
    <w:p>
      <w:pPr>
        <w:spacing w:after="200"/>
      </w:pPr>
    </w:p>
    <w:p>
      <w:pPr>
        <w:jc w:val="center"/>
      </w:pPr>
      <w:r>
        <w:rPr>
          <w:rFonts w:ascii="Arial" w:cs="Arial" w:eastAsia="Arial" w:hAnsi="Arial"/>
          <w:color w:val="2c5282"/>
          <w:sz w:val="40"/>
          <w:szCs w:val="40"/>
        </w:rPr>
        <w:t xml:space="preserve">AI-Powered Company Research</w:t>
      </w:r>
    </w:p>
    <w:p>
      <w:pPr>
        <w:jc w:val="center"/>
      </w:pPr>
      <w:r>
        <w:rPr>
          <w:rFonts w:ascii="Arial" w:cs="Arial" w:eastAsia="Arial" w:hAnsi="Arial"/>
          <w:color w:val="2c5282"/>
          <w:sz w:val="40"/>
          <w:szCs w:val="40"/>
        </w:rPr>
        <w:t xml:space="preserve">&amp; Email Automation Application</w:t>
      </w:r>
    </w:p>
    <w:p>
      <w:pPr>
        <w:spacing w:after="600"/>
      </w:pPr>
    </w:p>
    <w:p>
      <w:pPr>
        <w:jc w:val="center"/>
      </w:pPr>
      <w:r>
        <w:rPr>
          <w:rFonts w:ascii="Arial" w:cs="Arial" w:eastAsia="Arial" w:hAnsi="Arial"/>
          <w:color w:val="4a5568"/>
          <w:sz w:val="28"/>
          <w:szCs w:val="28"/>
        </w:rPr>
        <w:t xml:space="preserve">Prepared for: Revology Analytics</w:t>
      </w:r>
    </w:p>
    <w:p>
      <w:pPr>
        <w:jc w:val="center"/>
      </w:pPr>
      <w:r>
        <w:rPr>
          <w:rFonts w:ascii="Arial" w:cs="Arial" w:eastAsia="Arial" w:hAnsi="Arial"/>
          <w:color w:val="4a5568"/>
          <w:sz w:val="24"/>
          <w:szCs w:val="24"/>
        </w:rPr>
        <w:t xml:space="preserve">Prepared by: Mervin De Castro</w:t>
      </w:r>
    </w:p>
    <w:p>
      <w:pPr>
        <w:jc w:val="center"/>
      </w:pPr>
      <w:r>
        <w:rPr>
          <w:rFonts w:ascii="Arial" w:cs="Arial" w:eastAsia="Arial" w:hAnsi="Arial"/>
          <w:color w:val="4a5568"/>
          <w:sz w:val="24"/>
          <w:szCs w:val="24"/>
        </w:rPr>
        <w:t xml:space="preserve">Date: February 2026</w:t>
      </w:r>
    </w:p>
    <w:p>
      <w:r>
        <w:br w:type="page"/>
      </w:r>
    </w:p>
    <w:p>
      <w:pPr>
        <w:pStyle w:val="Heading1"/>
      </w:pPr>
      <w:r>
        <w:t xml:space="preserve">Executive Summary</w:t>
      </w:r>
    </w:p>
    <w:p>
      <w:pPr>
        <w:spacing w:after="200"/>
      </w:pPr>
      <w:r>
        <w:rPr>
          <w:sz w:val="22"/>
          <w:szCs w:val="22"/>
        </w:rPr>
        <w:t xml:space="preserve">This proposal outlines the development of a custom AI-powered research and email automation application designed specifically for Revology Analytics' outbound sales operations. The solution addresses your current pain point with HubSpot's AI data enrichment—high costs and lack of transparency—by providing a system where you control your own API keys and have complete visibility into usage and costs.</w:t>
      </w:r>
    </w:p>
    <w:p>
      <w:pPr>
        <w:spacing w:after="200"/>
      </w:pPr>
      <w:r>
        <w:rPr>
          <w:sz w:val="22"/>
          <w:szCs w:val="22"/>
        </w:rPr>
        <w:t xml:space="preserve">As a Revenue Growth Analytics consultancy serving mid-market companies in Manufacturing, Retail, and Distribution, your outreach requires intelligent, data-driven personalization. This application will enable bulk company research, intelligent email drafting based on research findings, and seamless integration with your existing GoHighLevel CRM—all while keeping API costs transparent and under your control.</w:t>
      </w:r>
    </w:p>
    <w:p>
      <w:pPr>
        <w:pStyle w:val="Heading1"/>
      </w:pPr>
      <w:r>
        <w:t xml:space="preserve">The Problem</w:t>
      </w:r>
    </w:p>
    <w:p>
      <w:pPr>
        <w:spacing w:after="150"/>
      </w:pPr>
      <w:r>
        <w:rPr>
          <w:b/>
          <w:bCs/>
          <w:sz w:val="22"/>
          <w:szCs w:val="22"/>
        </w:rPr>
        <w:t xml:space="preserve">Your current challenge with HubSpot's AI capabilities:</w:t>
      </w:r>
    </w:p>
    <w:p>
      <w:pPr>
        <w:spacing w:after="100"/>
      </w:pPr>
      <w:r>
        <w:rPr>
          <w:sz w:val="22"/>
          <w:szCs w:val="22"/>
        </w:rPr>
        <w:t xml:space="preserve">• </w:t>
      </w:r>
      <w:r>
        <w:rPr>
          <w:b/>
          <w:bCs/>
          <w:sz w:val="22"/>
          <w:szCs w:val="22"/>
        </w:rPr>
        <w:t xml:space="preserve">Hidden Costs: </w:t>
      </w:r>
      <w:r>
        <w:rPr>
          <w:sz w:val="22"/>
          <w:szCs w:val="22"/>
        </w:rPr>
        <w:t xml:space="preserve">HubSpot's AI data enrichment costs ballooned unexpectedly with no visibility into how credits were being consumed</w:t>
      </w:r>
    </w:p>
    <w:p>
      <w:pPr>
        <w:spacing w:after="100"/>
      </w:pPr>
      <w:r>
        <w:rPr>
          <w:sz w:val="22"/>
          <w:szCs w:val="22"/>
        </w:rPr>
        <w:t xml:space="preserve">• </w:t>
      </w:r>
      <w:r>
        <w:rPr>
          <w:b/>
          <w:bCs/>
          <w:sz w:val="22"/>
          <w:szCs w:val="22"/>
        </w:rPr>
        <w:t xml:space="preserve">Lack of Transparency: </w:t>
      </w:r>
      <w:r>
        <w:rPr>
          <w:sz w:val="22"/>
          <w:szCs w:val="22"/>
        </w:rPr>
        <w:t xml:space="preserve">No clear understanding of what AI features were being used or their individual costs</w:t>
      </w:r>
    </w:p>
    <w:p>
      <w:pPr>
        <w:spacing w:after="100"/>
      </w:pPr>
      <w:r>
        <w:rPr>
          <w:sz w:val="22"/>
          <w:szCs w:val="22"/>
        </w:rPr>
        <w:t xml:space="preserve">• </w:t>
      </w:r>
      <w:r>
        <w:rPr>
          <w:b/>
          <w:bCs/>
          <w:sz w:val="22"/>
          <w:szCs w:val="22"/>
        </w:rPr>
        <w:t xml:space="preserve">Credit System Complexity: </w:t>
      </w:r>
      <w:r>
        <w:rPr>
          <w:sz w:val="22"/>
          <w:szCs w:val="22"/>
        </w:rPr>
        <w:t xml:space="preserve">HubSpot's credit system (10 credits per contact enrichment at ~$0.10/contact) adds up quickly at scale</w:t>
      </w:r>
    </w:p>
    <w:p>
      <w:pPr>
        <w:spacing w:after="200"/>
      </w:pPr>
      <w:r>
        <w:rPr>
          <w:sz w:val="22"/>
          <w:szCs w:val="22"/>
        </w:rPr>
        <w:t xml:space="preserve">• </w:t>
      </w:r>
      <w:r>
        <w:rPr>
          <w:b/>
          <w:bCs/>
          <w:sz w:val="22"/>
          <w:szCs w:val="22"/>
        </w:rPr>
        <w:t xml:space="preserve">Vendor Lock-in: </w:t>
      </w:r>
      <w:r>
        <w:rPr>
          <w:sz w:val="22"/>
          <w:szCs w:val="22"/>
        </w:rPr>
        <w:t xml:space="preserve">Dependence on a single platform's pricing decisions without alternatives</w:t>
      </w:r>
    </w:p>
    <w:p>
      <w:pPr>
        <w:pStyle w:val="Heading1"/>
      </w:pPr>
      <w:r>
        <w:t xml:space="preserve">The Solution</w:t>
      </w:r>
    </w:p>
    <w:p>
      <w:pPr>
        <w:spacing w:after="200"/>
      </w:pPr>
      <w:r>
        <w:rPr>
          <w:sz w:val="22"/>
          <w:szCs w:val="22"/>
        </w:rPr>
        <w:t xml:space="preserve">A custom-built application that puts you in control:</w:t>
      </w:r>
    </w:p>
    <w:p>
      <w:pPr>
        <w:pStyle w:val="Heading2"/>
      </w:pPr>
      <w:r>
        <w:t xml:space="preserve">Core Features</w:t>
      </w:r>
    </w:p>
    <w:p>
      <w:pPr>
        <w:spacing w:after="100"/>
      </w:pPr>
      <w:r>
        <w:rPr>
          <w:b/>
          <w:bCs/>
          <w:sz w:val="22"/>
          <w:szCs w:val="22"/>
        </w:rPr>
        <w:t xml:space="preserve">1. AI-Powered Company Research</w:t>
      </w:r>
    </w:p>
    <w:p>
      <w:pPr>
        <w:spacing w:after="100"/>
      </w:pPr>
      <w:r>
        <w:rPr>
          <w:sz w:val="22"/>
          <w:szCs w:val="22"/>
        </w:rPr>
        <w:t xml:space="preserve">   • Web scraping and research using Tavily API for real-time company intelligence</w:t>
      </w:r>
    </w:p>
    <w:p>
      <w:pPr>
        <w:spacing w:after="100"/>
      </w:pPr>
      <w:r>
        <w:rPr>
          <w:sz w:val="22"/>
          <w:szCs w:val="22"/>
        </w:rPr>
        <w:t xml:space="preserve">   • Automated discovery of news, product updates, funding announcements, and leadership changes</w:t>
      </w:r>
    </w:p>
    <w:p>
      <w:pPr>
        <w:spacing w:after="150"/>
      </w:pPr>
      <w:r>
        <w:rPr>
          <w:sz w:val="22"/>
          <w:szCs w:val="22"/>
        </w:rPr>
        <w:t xml:space="preserve">   • Generation of actionable hooks and talking points for outreach</w:t>
      </w:r>
    </w:p>
    <w:p>
      <w:pPr>
        <w:spacing w:after="100"/>
      </w:pPr>
      <w:r>
        <w:rPr>
          <w:b/>
          <w:bCs/>
          <w:sz w:val="22"/>
          <w:szCs w:val="22"/>
        </w:rPr>
        <w:t xml:space="preserve">2. Intelligent Email Drafting</w:t>
      </w:r>
    </w:p>
    <w:p>
      <w:pPr>
        <w:spacing w:after="100"/>
      </w:pPr>
      <w:r>
        <w:rPr>
          <w:sz w:val="22"/>
          <w:szCs w:val="22"/>
        </w:rPr>
        <w:t xml:space="preserve">   • Personalized email generation based on research findings using OpenAI GPT-4o</w:t>
      </w:r>
    </w:p>
    <w:p>
      <w:pPr>
        <w:spacing w:after="100"/>
      </w:pPr>
      <w:r>
        <w:rPr>
          <w:sz w:val="22"/>
          <w:szCs w:val="22"/>
        </w:rPr>
        <w:t xml:space="preserve">   • Customizable prompts to match your brand voice and outreach strategy</w:t>
      </w:r>
    </w:p>
    <w:p>
      <w:pPr>
        <w:spacing w:after="150"/>
      </w:pPr>
      <w:r>
        <w:rPr>
          <w:sz w:val="22"/>
          <w:szCs w:val="22"/>
        </w:rPr>
        <w:t xml:space="preserve">   • Review and edit capability before sending</w:t>
      </w:r>
    </w:p>
    <w:p>
      <w:pPr>
        <w:spacing w:after="100"/>
      </w:pPr>
      <w:r>
        <w:rPr>
          <w:b/>
          <w:bCs/>
          <w:sz w:val="22"/>
          <w:szCs w:val="22"/>
        </w:rPr>
        <w:t xml:space="preserve">3. Bulk Processing Capability</w:t>
      </w:r>
    </w:p>
    <w:p>
      <w:pPr>
        <w:spacing w:after="100"/>
      </w:pPr>
      <w:r>
        <w:rPr>
          <w:sz w:val="22"/>
          <w:szCs w:val="22"/>
        </w:rPr>
        <w:t xml:space="preserve">   • Process hundreds of companies at once with filtering by score, industry, etc.</w:t>
      </w:r>
    </w:p>
    <w:p>
      <w:pPr>
        <w:spacing w:after="100"/>
      </w:pPr>
      <w:r>
        <w:rPr>
          <w:sz w:val="22"/>
          <w:szCs w:val="22"/>
        </w:rPr>
        <w:t xml:space="preserve">   • Batch research and email generation for efficiency</w:t>
      </w:r>
    </w:p>
    <w:p>
      <w:pPr>
        <w:spacing w:after="150"/>
      </w:pPr>
      <w:r>
        <w:rPr>
          <w:sz w:val="22"/>
          <w:szCs w:val="22"/>
        </w:rPr>
        <w:t xml:space="preserve">   • Progress tracking and status updates</w:t>
      </w:r>
    </w:p>
    <w:p>
      <w:pPr>
        <w:spacing w:after="100"/>
      </w:pPr>
      <w:r>
        <w:rPr>
          <w:b/>
          <w:bCs/>
          <w:sz w:val="22"/>
          <w:szCs w:val="22"/>
        </w:rPr>
        <w:t xml:space="preserve">4. GoHighLevel Integration</w:t>
      </w:r>
    </w:p>
    <w:p>
      <w:pPr>
        <w:spacing w:after="100"/>
      </w:pPr>
      <w:r>
        <w:rPr>
          <w:sz w:val="22"/>
          <w:szCs w:val="22"/>
        </w:rPr>
        <w:t xml:space="preserve">   • Direct sync with your existing CRM companies and contacts</w:t>
      </w:r>
    </w:p>
    <w:p>
      <w:pPr>
        <w:spacing w:after="100"/>
      </w:pPr>
      <w:r>
        <w:rPr>
          <w:sz w:val="22"/>
          <w:szCs w:val="22"/>
        </w:rPr>
        <w:t xml:space="preserve">   • Save research results back to company records</w:t>
      </w:r>
    </w:p>
    <w:p>
      <w:pPr>
        <w:spacing w:after="150"/>
      </w:pPr>
      <w:r>
        <w:rPr>
          <w:sz w:val="22"/>
          <w:szCs w:val="22"/>
        </w:rPr>
        <w:t xml:space="preserve">   • Trigger follow-up workflows after initial outreach</w:t>
      </w:r>
    </w:p>
    <w:p>
      <w:pPr>
        <w:spacing w:after="100"/>
      </w:pPr>
      <w:r>
        <w:rPr>
          <w:b/>
          <w:bCs/>
          <w:sz w:val="22"/>
          <w:szCs w:val="22"/>
        </w:rPr>
        <w:t xml:space="preserve">5. Complete Cost Transparency</w:t>
      </w:r>
    </w:p>
    <w:p>
      <w:pPr>
        <w:spacing w:after="100"/>
      </w:pPr>
      <w:r>
        <w:rPr>
          <w:sz w:val="22"/>
          <w:szCs w:val="22"/>
        </w:rPr>
        <w:t xml:space="preserve">   • Real-time cost tracking per research and per email</w:t>
      </w:r>
    </w:p>
    <w:p>
      <w:pPr>
        <w:spacing w:after="100"/>
      </w:pPr>
      <w:r>
        <w:rPr>
          <w:sz w:val="22"/>
          <w:szCs w:val="22"/>
        </w:rPr>
        <w:t xml:space="preserve">   • Your own API keys = your own billing dashboard</w:t>
      </w:r>
    </w:p>
    <w:p>
      <w:pPr>
        <w:spacing w:after="200"/>
      </w:pPr>
      <w:r>
        <w:rPr>
          <w:sz w:val="22"/>
          <w:szCs w:val="22"/>
        </w:rPr>
        <w:t xml:space="preserve">   • Token usage visibility for every operation</w:t>
      </w:r>
    </w:p>
    <w:p>
      <w:r>
        <w:br w:type="page"/>
      </w:r>
    </w:p>
    <w:p>
      <w:pPr>
        <w:pStyle w:val="Heading1"/>
      </w:pPr>
      <w:r>
        <w:t xml:space="preserve">Cost Comparison: Custom App vs. Market Alternatives</w:t>
      </w:r>
    </w:p>
    <w:p>
      <w:pPr>
        <w:spacing w:after="200"/>
      </w:pPr>
      <w:r>
        <w:rPr>
          <w:sz w:val="22"/>
          <w:szCs w:val="22"/>
        </w:rPr>
        <w:t xml:space="preserve">Understanding the value proposition compared to existing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b/>
                <w:bCs/>
                <w:color w:val="FFFFFF"/>
                <w:sz w:val="22"/>
                <w:szCs w:val="22"/>
              </w:rPr>
              <w:t xml:space="preserve">Solution</w:t>
            </w:r>
          </w:p>
        </w:tc>
        <w:tc>
          <w:tcPr>
            <w:tcW w:type="dxa" w:w="234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b/>
                <w:bCs/>
                <w:color w:val="FFFFFF"/>
                <w:sz w:val="22"/>
                <w:szCs w:val="22"/>
              </w:rPr>
              <w:t xml:space="preserve">Monthly Cost</w:t>
            </w:r>
          </w:p>
        </w:tc>
        <w:tc>
          <w:tcPr>
            <w:tcW w:type="dxa" w:w="234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b/>
                <w:bCs/>
                <w:color w:val="FFFFFF"/>
                <w:sz w:val="22"/>
                <w:szCs w:val="22"/>
              </w:rPr>
              <w:t xml:space="preserve">Setup/Build</w:t>
            </w:r>
          </w:p>
        </w:tc>
        <w:tc>
          <w:tcPr>
            <w:tcW w:type="dxa" w:w="234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b/>
                <w:bCs/>
                <w:color w:val="FFFFFF"/>
                <w:sz w:val="22"/>
                <w:szCs w:val="22"/>
              </w:rPr>
              <w:t xml:space="preserve">Key Limitation</w:t>
            </w:r>
          </w:p>
        </w:tc>
      </w:tr>
      <w:tr>
        <w:tc>
          <w:tcPr>
            <w:tcW w:type="dxa" w:w="2340"/>
            <w:tcBorders>
              <w:top w:val="single" w:color="CCCCCC" w:sz="1"/>
              <w:left w:val="single" w:color="CCCCCC" w:sz="1"/>
              <w:bottom w:val="single" w:color="CCCCCC" w:sz="1"/>
              <w:right w:val="single" w:color="CCCCCC" w:sz="1"/>
            </w:tcBorders>
            <w:shd w:fill="e8f4f8" w:val="clear"/>
            <w:tcMar>
              <w:top w:type="dxa" w:w="100"/>
              <w:left w:type="dxa" w:w="120"/>
              <w:bottom w:type="dxa" w:w="100"/>
              <w:right w:type="dxa" w:w="120"/>
            </w:tcMar>
          </w:tcPr>
          <w:p>
            <w:r>
              <w:rPr>
                <w:b/>
                <w:bCs/>
                <w:sz w:val="20"/>
                <w:szCs w:val="20"/>
              </w:rPr>
              <w:t xml:space="preserve">Custom App (This Proposal)</w:t>
            </w:r>
          </w:p>
        </w:tc>
        <w:tc>
          <w:tcPr>
            <w:tcW w:type="dxa" w:w="2340"/>
            <w:tcBorders>
              <w:top w:val="single" w:color="CCCCCC" w:sz="1"/>
              <w:left w:val="single" w:color="CCCCCC" w:sz="1"/>
              <w:bottom w:val="single" w:color="CCCCCC" w:sz="1"/>
              <w:right w:val="single" w:color="CCCCCC" w:sz="1"/>
            </w:tcBorders>
            <w:shd w:fill="e8f4f8" w:val="clear"/>
            <w:tcMar>
              <w:top w:type="dxa" w:w="100"/>
              <w:left w:type="dxa" w:w="120"/>
              <w:bottom w:type="dxa" w:w="100"/>
              <w:right w:type="dxa" w:w="120"/>
            </w:tcMar>
          </w:tcPr>
          <w:p>
            <w:r>
              <w:rPr>
                <w:sz w:val="20"/>
                <w:szCs w:val="20"/>
              </w:rPr>
              <w:t xml:space="preserve">$30-60 (API only)</w:t>
            </w:r>
          </w:p>
        </w:tc>
        <w:tc>
          <w:tcPr>
            <w:tcW w:type="dxa" w:w="2340"/>
            <w:tcBorders>
              <w:top w:val="single" w:color="CCCCCC" w:sz="1"/>
              <w:left w:val="single" w:color="CCCCCC" w:sz="1"/>
              <w:bottom w:val="single" w:color="CCCCCC" w:sz="1"/>
              <w:right w:val="single" w:color="CCCCCC" w:sz="1"/>
            </w:tcBorders>
            <w:shd w:fill="e8f4f8" w:val="clear"/>
            <w:tcMar>
              <w:top w:type="dxa" w:w="100"/>
              <w:left w:type="dxa" w:w="120"/>
              <w:bottom w:type="dxa" w:w="100"/>
              <w:right w:type="dxa" w:w="120"/>
            </w:tcMar>
          </w:tcPr>
          <w:p>
            <w:r>
              <w:rPr>
                <w:sz w:val="20"/>
                <w:szCs w:val="20"/>
              </w:rPr>
              <w:t xml:space="preserve">$2,000 one-time</w:t>
            </w:r>
          </w:p>
        </w:tc>
        <w:tc>
          <w:tcPr>
            <w:tcW w:type="dxa" w:w="2340"/>
            <w:tcBorders>
              <w:top w:val="single" w:color="CCCCCC" w:sz="1"/>
              <w:left w:val="single" w:color="CCCCCC" w:sz="1"/>
              <w:bottom w:val="single" w:color="CCCCCC" w:sz="1"/>
              <w:right w:val="single" w:color="CCCCCC" w:sz="1"/>
            </w:tcBorders>
            <w:shd w:fill="e8f4f8" w:val="clear"/>
            <w:tcMar>
              <w:top w:type="dxa" w:w="100"/>
              <w:left w:type="dxa" w:w="120"/>
              <w:bottom w:type="dxa" w:w="100"/>
              <w:right w:type="dxa" w:w="120"/>
            </w:tcMar>
          </w:tcPr>
          <w:p>
            <w:r>
              <w:rPr>
                <w:sz w:val="20"/>
                <w:szCs w:val="20"/>
              </w:rPr>
              <w:t xml:space="preserve">Custom built for your needs</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Clay</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$149-800/mo</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1-2 months setup</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No email sending, needs Instantly</w:t>
            </w:r>
          </w:p>
        </w:tc>
      </w:tr>
      <w:tr>
        <w:tc>
          <w:tcPr>
            <w:tcW w:type="dxa" w:w="234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sz w:val="20"/>
                <w:szCs w:val="20"/>
              </w:rPr>
              <w:t xml:space="preserve">Apollo.io</w:t>
            </w:r>
          </w:p>
        </w:tc>
        <w:tc>
          <w:tcPr>
            <w:tcW w:type="dxa" w:w="234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sz w:val="20"/>
                <w:szCs w:val="20"/>
              </w:rPr>
              <w:t xml:space="preserve">$49/user/mo</w:t>
            </w:r>
          </w:p>
        </w:tc>
        <w:tc>
          <w:tcPr>
            <w:tcW w:type="dxa" w:w="234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sz w:val="20"/>
                <w:szCs w:val="20"/>
              </w:rPr>
              <w:t xml:space="preserve">~1 week</w:t>
            </w:r>
          </w:p>
        </w:tc>
        <w:tc>
          <w:tcPr>
            <w:tcW w:type="dxa" w:w="234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sz w:val="20"/>
                <w:szCs w:val="20"/>
              </w:rPr>
              <w:t xml:space="preserve">No AI personalization, static templates</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HubSpot AI</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$45-500+/mo</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Included</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Hidden costs, no transparency</w:t>
            </w:r>
          </w:p>
        </w:tc>
      </w:tr>
    </w:tbl>
    <w:p>
      <w:pPr>
        <w:spacing w:before="300" w:after="200"/>
      </w:pPr>
      <w:r>
        <w:rPr>
          <w:b/>
          <w:bCs/>
          <w:sz w:val="22"/>
          <w:szCs w:val="22"/>
        </w:rPr>
        <w:t xml:space="preserve">Key Advantage: </w:t>
      </w:r>
      <w:r>
        <w:rPr>
          <w:sz w:val="22"/>
          <w:szCs w:val="22"/>
        </w:rPr>
        <w:t xml:space="preserve">Unlike Clay ($149-800/mo) or Apollo ($49/user/mo), the custom app has minimal ongoing costs—you only pay for actual API usage. At your projected volume, this translates to significant savings over time.</w:t>
      </w:r>
    </w:p>
    <w:p>
      <w:r>
        <w:br w:type="page"/>
      </w:r>
    </w:p>
    <w:p>
      <w:pPr>
        <w:pStyle w:val="Heading1"/>
      </w:pPr>
      <w:r>
        <w:t xml:space="preserve">Estimated API Costs (Your Keys)</w:t>
      </w:r>
    </w:p>
    <w:p>
      <w:pPr>
        <w:spacing w:after="200"/>
      </w:pPr>
      <w:r>
        <w:rPr>
          <w:sz w:val="22"/>
          <w:szCs w:val="22"/>
        </w:rPr>
        <w:t xml:space="preserve">All API costs are paid directly to the providers using your own API keys, giving you complete visibility and control.</w:t>
      </w:r>
    </w:p>
    <w:p>
      <w:pPr>
        <w:pStyle w:val="Heading2"/>
      </w:pPr>
      <w:r>
        <w:t xml:space="preserve">OpenAI API (GPT-4o)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c5282" w:val="clear"/>
            <w:tcMar>
              <w:top w:type="dxa" w:w="100"/>
              <w:left w:type="dxa" w:w="120"/>
              <w:bottom w:type="dxa" w:w="100"/>
              <w:right w:type="dxa" w:w="120"/>
            </w:tcMar>
          </w:tcPr>
          <w:p>
            <w:r>
              <w:rPr>
                <w:b/>
                <w:bCs/>
                <w:color w:val="FFFFFF"/>
                <w:sz w:val="22"/>
                <w:szCs w:val="22"/>
              </w:rPr>
              <w:t xml:space="preserve">Operation</w:t>
            </w:r>
          </w:p>
        </w:tc>
        <w:tc>
          <w:tcPr>
            <w:tcW w:type="dxa" w:w="3120"/>
            <w:tcBorders>
              <w:top w:val="single" w:color="CCCCCC" w:sz="1"/>
              <w:left w:val="single" w:color="CCCCCC" w:sz="1"/>
              <w:bottom w:val="single" w:color="CCCCCC" w:sz="1"/>
              <w:right w:val="single" w:color="CCCCCC" w:sz="1"/>
            </w:tcBorders>
            <w:shd w:fill="2c5282" w:val="clear"/>
            <w:tcMar>
              <w:top w:type="dxa" w:w="100"/>
              <w:left w:type="dxa" w:w="120"/>
              <w:bottom w:type="dxa" w:w="100"/>
              <w:right w:type="dxa" w:w="120"/>
            </w:tcMar>
          </w:tcPr>
          <w:p>
            <w:r>
              <w:rPr>
                <w:b/>
                <w:bCs/>
                <w:color w:val="FFFFFF"/>
                <w:sz w:val="22"/>
                <w:szCs w:val="22"/>
              </w:rPr>
              <w:t xml:space="preserve">Cost Per Operation</w:t>
            </w:r>
          </w:p>
        </w:tc>
        <w:tc>
          <w:tcPr>
            <w:tcW w:type="dxa" w:w="3120"/>
            <w:tcBorders>
              <w:top w:val="single" w:color="CCCCCC" w:sz="1"/>
              <w:left w:val="single" w:color="CCCCCC" w:sz="1"/>
              <w:bottom w:val="single" w:color="CCCCCC" w:sz="1"/>
              <w:right w:val="single" w:color="CCCCCC" w:sz="1"/>
            </w:tcBorders>
            <w:shd w:fill="2c5282" w:val="clear"/>
            <w:tcMar>
              <w:top w:type="dxa" w:w="100"/>
              <w:left w:type="dxa" w:w="120"/>
              <w:bottom w:type="dxa" w:w="100"/>
              <w:right w:type="dxa" w:w="120"/>
            </w:tcMar>
          </w:tcPr>
          <w:p>
            <w:r>
              <w:rPr>
                <w:b/>
                <w:bCs/>
                <w:color w:val="FFFFFF"/>
                <w:sz w:val="22"/>
                <w:szCs w:val="22"/>
              </w:rPr>
              <w:t xml:space="preserve">1,000 Companies</w:t>
            </w:r>
          </w:p>
        </w:tc>
      </w:tr>
      <w:tr>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2"/>
                <w:szCs w:val="22"/>
              </w:rPr>
              <w:t xml:space="preserve">Company Research</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2"/>
                <w:szCs w:val="22"/>
              </w:rPr>
              <w:t xml:space="preserve">~$0.03-0.04</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2"/>
                <w:szCs w:val="22"/>
              </w:rPr>
              <w:t xml:space="preserve">$30-40</w:t>
            </w:r>
          </w:p>
        </w:tc>
      </w:tr>
      <w:tr>
        <w:tc>
          <w:tcPr>
            <w:tcW w:type="dxa" w:w="312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sz w:val="22"/>
                <w:szCs w:val="22"/>
              </w:rPr>
              <w:t xml:space="preserve">Email Drafting</w:t>
            </w:r>
          </w:p>
        </w:tc>
        <w:tc>
          <w:tcPr>
            <w:tcW w:type="dxa" w:w="312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sz w:val="22"/>
                <w:szCs w:val="22"/>
              </w:rPr>
              <w:t xml:space="preserve">~$0.005</w:t>
            </w:r>
          </w:p>
        </w:tc>
        <w:tc>
          <w:tcPr>
            <w:tcW w:type="dxa" w:w="312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sz w:val="22"/>
                <w:szCs w:val="22"/>
              </w:rPr>
              <w:t xml:space="preserve">$5 per 1K emails</w:t>
            </w:r>
          </w:p>
        </w:tc>
      </w:tr>
    </w:tbl>
    <w:p>
      <w:pPr>
        <w:spacing w:before="200" w:after="100"/>
      </w:pPr>
      <w:r>
        <w:rPr>
          <w:b/>
          <w:bCs/>
          <w:sz w:val="22"/>
          <w:szCs w:val="22"/>
        </w:rPr>
        <w:t xml:space="preserve">Current OpenAI Pricing: </w:t>
      </w:r>
      <w:r>
        <w:rPr>
          <w:sz w:val="22"/>
          <w:szCs w:val="22"/>
        </w:rPr>
        <w:t xml:space="preserve">GPT-4o costs $2.50-5.00 per million input tokens and $10-15 per million output tokens.</w:t>
      </w:r>
    </w:p>
    <w:p>
      <w:pPr>
        <w:pStyle w:val="Heading2"/>
      </w:pPr>
      <w:r>
        <w:t xml:space="preserve">Tavily API (Web Research)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c5282" w:val="clear"/>
            <w:tcMar>
              <w:top w:type="dxa" w:w="100"/>
              <w:left w:type="dxa" w:w="120"/>
              <w:bottom w:type="dxa" w:w="100"/>
              <w:right w:type="dxa" w:w="120"/>
            </w:tcMar>
          </w:tcPr>
          <w:p>
            <w:r>
              <w:rPr>
                <w:b/>
                <w:bCs/>
                <w:color w:val="FFFFFF"/>
                <w:sz w:val="22"/>
                <w:szCs w:val="22"/>
              </w:rPr>
              <w:t xml:space="preserve">Plan</w:t>
            </w:r>
          </w:p>
        </w:tc>
        <w:tc>
          <w:tcPr>
            <w:tcW w:type="dxa" w:w="3120"/>
            <w:tcBorders>
              <w:top w:val="single" w:color="CCCCCC" w:sz="1"/>
              <w:left w:val="single" w:color="CCCCCC" w:sz="1"/>
              <w:bottom w:val="single" w:color="CCCCCC" w:sz="1"/>
              <w:right w:val="single" w:color="CCCCCC" w:sz="1"/>
            </w:tcBorders>
            <w:shd w:fill="2c5282" w:val="clear"/>
            <w:tcMar>
              <w:top w:type="dxa" w:w="100"/>
              <w:left w:type="dxa" w:w="120"/>
              <w:bottom w:type="dxa" w:w="100"/>
              <w:right w:type="dxa" w:w="120"/>
            </w:tcMar>
          </w:tcPr>
          <w:p>
            <w:r>
              <w:rPr>
                <w:b/>
                <w:bCs/>
                <w:color w:val="FFFFFF"/>
                <w:sz w:val="22"/>
                <w:szCs w:val="22"/>
              </w:rPr>
              <w:t xml:space="preserve">Monthly Cost</w:t>
            </w:r>
          </w:p>
        </w:tc>
        <w:tc>
          <w:tcPr>
            <w:tcW w:type="dxa" w:w="3120"/>
            <w:tcBorders>
              <w:top w:val="single" w:color="CCCCCC" w:sz="1"/>
              <w:left w:val="single" w:color="CCCCCC" w:sz="1"/>
              <w:bottom w:val="single" w:color="CCCCCC" w:sz="1"/>
              <w:right w:val="single" w:color="CCCCCC" w:sz="1"/>
            </w:tcBorders>
            <w:shd w:fill="2c5282" w:val="clear"/>
            <w:tcMar>
              <w:top w:type="dxa" w:w="100"/>
              <w:left w:type="dxa" w:w="120"/>
              <w:bottom w:type="dxa" w:w="100"/>
              <w:right w:type="dxa" w:w="120"/>
            </w:tcMar>
          </w:tcPr>
          <w:p>
            <w:r>
              <w:rPr>
                <w:b/>
                <w:bCs/>
                <w:color w:val="FFFFFF"/>
                <w:sz w:val="22"/>
                <w:szCs w:val="22"/>
              </w:rPr>
              <w:t xml:space="preserve">Credits Included</w:t>
            </w:r>
          </w:p>
        </w:tc>
      </w:tr>
      <w:tr>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2"/>
                <w:szCs w:val="22"/>
              </w:rPr>
              <w:t xml:space="preserve">Free (Researcher)</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2"/>
                <w:szCs w:val="22"/>
              </w:rPr>
              <w:t xml:space="preserve">$0</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2"/>
                <w:szCs w:val="22"/>
              </w:rPr>
              <w:t xml:space="preserve">1,000 credits</w:t>
            </w:r>
          </w:p>
        </w:tc>
      </w:tr>
      <w:tr>
        <w:tc>
          <w:tcPr>
            <w:tcW w:type="dxa" w:w="3120"/>
            <w:tcBorders>
              <w:top w:val="single" w:color="CCCCCC" w:sz="1"/>
              <w:left w:val="single" w:color="CCCCCC" w:sz="1"/>
              <w:bottom w:val="single" w:color="CCCCCC" w:sz="1"/>
              <w:right w:val="single" w:color="CCCCCC" w:sz="1"/>
            </w:tcBorders>
            <w:shd w:fill="e8f4f8" w:val="clear"/>
            <w:tcMar>
              <w:top w:type="dxa" w:w="100"/>
              <w:left w:type="dxa" w:w="120"/>
              <w:bottom w:type="dxa" w:w="100"/>
              <w:right w:type="dxa" w:w="120"/>
            </w:tcMar>
          </w:tcPr>
          <w:p>
            <w:r>
              <w:rPr>
                <w:b/>
                <w:bCs/>
                <w:sz w:val="22"/>
                <w:szCs w:val="22"/>
              </w:rPr>
              <w:t xml:space="preserve">Project (Recommended)</w:t>
            </w:r>
          </w:p>
        </w:tc>
        <w:tc>
          <w:tcPr>
            <w:tcW w:type="dxa" w:w="3120"/>
            <w:tcBorders>
              <w:top w:val="single" w:color="CCCCCC" w:sz="1"/>
              <w:left w:val="single" w:color="CCCCCC" w:sz="1"/>
              <w:bottom w:val="single" w:color="CCCCCC" w:sz="1"/>
              <w:right w:val="single" w:color="CCCCCC" w:sz="1"/>
            </w:tcBorders>
            <w:shd w:fill="e8f4f8" w:val="clear"/>
            <w:tcMar>
              <w:top w:type="dxa" w:w="100"/>
              <w:left w:type="dxa" w:w="120"/>
              <w:bottom w:type="dxa" w:w="100"/>
              <w:right w:type="dxa" w:w="120"/>
            </w:tcMar>
          </w:tcPr>
          <w:p>
            <w:r>
              <w:rPr>
                <w:sz w:val="22"/>
                <w:szCs w:val="22"/>
              </w:rPr>
              <w:t xml:space="preserve">$30</w:t>
            </w:r>
          </w:p>
        </w:tc>
        <w:tc>
          <w:tcPr>
            <w:tcW w:type="dxa" w:w="3120"/>
            <w:tcBorders>
              <w:top w:val="single" w:color="CCCCCC" w:sz="1"/>
              <w:left w:val="single" w:color="CCCCCC" w:sz="1"/>
              <w:bottom w:val="single" w:color="CCCCCC" w:sz="1"/>
              <w:right w:val="single" w:color="CCCCCC" w:sz="1"/>
            </w:tcBorders>
            <w:shd w:fill="e8f4f8" w:val="clear"/>
            <w:tcMar>
              <w:top w:type="dxa" w:w="100"/>
              <w:left w:type="dxa" w:w="120"/>
              <w:bottom w:type="dxa" w:w="100"/>
              <w:right w:type="dxa" w:w="120"/>
            </w:tcMar>
          </w:tcPr>
          <w:p>
            <w:r>
              <w:rPr>
                <w:sz w:val="22"/>
                <w:szCs w:val="22"/>
              </w:rPr>
              <w:t xml:space="preserve">4,000 credits</w:t>
            </w:r>
          </w:p>
        </w:tc>
      </w:tr>
      <w:tr>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2"/>
                <w:szCs w:val="22"/>
              </w:rPr>
              <w:t xml:space="preserve">Bootstrap</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2"/>
                <w:szCs w:val="22"/>
              </w:rPr>
              <w:t xml:space="preserve">$100</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2"/>
                <w:szCs w:val="22"/>
              </w:rPr>
              <w:t xml:space="preserve">15,000 credits</w:t>
            </w:r>
          </w:p>
        </w:tc>
      </w:tr>
      <w:tr>
        <w:tc>
          <w:tcPr>
            <w:tcW w:type="dxa" w:w="312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sz w:val="22"/>
                <w:szCs w:val="22"/>
              </w:rPr>
              <w:t xml:space="preserve">Pay-As-You-Go</w:t>
            </w:r>
          </w:p>
        </w:tc>
        <w:tc>
          <w:tcPr>
            <w:tcW w:type="dxa" w:w="312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sz w:val="22"/>
                <w:szCs w:val="22"/>
              </w:rPr>
              <w:t xml:space="preserve">$0.008/credit</w:t>
            </w:r>
          </w:p>
        </w:tc>
        <w:tc>
          <w:tcPr>
            <w:tcW w:type="dxa" w:w="312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sz w:val="22"/>
                <w:szCs w:val="22"/>
              </w:rPr>
              <w:t xml:space="preserve">Usage-based</w:t>
            </w:r>
          </w:p>
        </w:tc>
      </w:tr>
    </w:tbl>
    <w:p>
      <w:pPr>
        <w:spacing w:before="200" w:after="100"/>
      </w:pPr>
      <w:r>
        <w:rPr>
          <w:b/>
          <w:bCs/>
          <w:sz w:val="22"/>
          <w:szCs w:val="22"/>
        </w:rPr>
        <w:t xml:space="preserve">Credit Usage: </w:t>
      </w:r>
      <w:r>
        <w:rPr>
          <w:sz w:val="22"/>
          <w:szCs w:val="22"/>
        </w:rPr>
        <w:t xml:space="preserve">Basic search = 1 credit, Advanced search = 2 credits. For 1,000 companies with advanced search, you'd need ~2,000 credits ($30/month on Project plan).</w:t>
      </w:r>
    </w:p>
    <w:p>
      <w:pPr>
        <w:pStyle w:val="Heading2"/>
      </w:pPr>
      <w:r>
        <w:t xml:space="preserve">Total Estimated Monthly API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b/>
                <w:bCs/>
                <w:color w:val="FFFFFF"/>
                <w:sz w:val="22"/>
                <w:szCs w:val="22"/>
              </w:rPr>
              <w:t xml:space="preserve">Scale</w:t>
            </w:r>
          </w:p>
        </w:tc>
        <w:tc>
          <w:tcPr>
            <w:tcW w:type="dxa" w:w="468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b/>
                <w:bCs/>
                <w:color w:val="FFFFFF"/>
                <w:sz w:val="22"/>
                <w:szCs w:val="22"/>
              </w:rPr>
              <w:t xml:space="preserve">Estimated Monthly Cost</w:t>
            </w:r>
          </w:p>
        </w:tc>
      </w:tr>
      <w:tr>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2"/>
                <w:szCs w:val="22"/>
              </w:rPr>
              <w:t xml:space="preserve">Pilot (100-500 companies)</w:t>
            </w:r>
          </w:p>
        </w:tc>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2"/>
                <w:szCs w:val="22"/>
              </w:rPr>
              <w:t xml:space="preserve">$15-30</w:t>
            </w:r>
          </w:p>
        </w:tc>
      </w:tr>
      <w:tr>
        <w:tc>
          <w:tcPr>
            <w:tcW w:type="dxa" w:w="468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sz w:val="22"/>
                <w:szCs w:val="22"/>
              </w:rPr>
              <w:t xml:space="preserve">Growth (1,000-2,000 companies)</w:t>
            </w:r>
          </w:p>
        </w:tc>
        <w:tc>
          <w:tcPr>
            <w:tcW w:type="dxa" w:w="468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sz w:val="22"/>
                <w:szCs w:val="22"/>
              </w:rPr>
              <w:t xml:space="preserve">$50-80</w:t>
            </w:r>
          </w:p>
        </w:tc>
      </w:tr>
      <w:tr>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2"/>
                <w:szCs w:val="22"/>
              </w:rPr>
              <w:t xml:space="preserve">Full Scale (5,000 companies)</w:t>
            </w:r>
          </w:p>
        </w:tc>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2"/>
                <w:szCs w:val="22"/>
              </w:rPr>
              <w:t xml:space="preserve">$150-250</w:t>
            </w:r>
          </w:p>
        </w:tc>
      </w:tr>
    </w:tbl>
    <w:p>
      <w:r>
        <w:br w:type="page"/>
      </w:r>
    </w:p>
    <w:p>
      <w:pPr>
        <w:pStyle w:val="Heading1"/>
      </w:pPr>
      <w:r>
        <w:t xml:space="preserve">Investment &amp; Payment Terms</w:t>
      </w:r>
    </w:p>
    <w:p>
      <w:pPr>
        <w:pStyle w:val="Heading2"/>
      </w:pPr>
      <w:r>
        <w:t xml:space="preserve">Development Investment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b/>
                <w:bCs/>
                <w:color w:val="FFFFFF"/>
                <w:sz w:val="24"/>
                <w:szCs w:val="24"/>
              </w:rPr>
              <w:t xml:space="preserve">Item</w:t>
            </w:r>
          </w:p>
        </w:tc>
        <w:tc>
          <w:tcPr>
            <w:tcW w:type="dxa" w:w="468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b/>
                <w:bCs/>
                <w:color w:val="FFFFFF"/>
                <w:sz w:val="24"/>
                <w:szCs w:val="24"/>
              </w:rPr>
              <w:t xml:space="preserve">Amount</w:t>
            </w:r>
          </w:p>
        </w:tc>
      </w:tr>
      <w:tr>
        <w:tc>
          <w:tcPr>
            <w:tcW w:type="dxa" w:w="4680"/>
            <w:tcBorders>
              <w:top w:val="single" w:color="CCCCCC" w:sz="1"/>
              <w:left w:val="single" w:color="CCCCCC" w:sz="1"/>
              <w:bottom w:val="single" w:color="CCCCCC" w:sz="1"/>
              <w:right w:val="single" w:color="CCCCCC" w:sz="1"/>
            </w:tcBorders>
            <w:shd w:fill="e8f4f8" w:val="clear"/>
            <w:tcMar>
              <w:top w:type="dxa" w:w="100"/>
              <w:left w:type="dxa" w:w="120"/>
              <w:bottom w:type="dxa" w:w="100"/>
              <w:right w:type="dxa" w:w="120"/>
            </w:tcMar>
          </w:tcPr>
          <w:p>
            <w:r>
              <w:rPr>
                <w:b/>
                <w:bCs/>
                <w:sz w:val="24"/>
                <w:szCs w:val="24"/>
              </w:rPr>
              <w:t xml:space="preserve">Total Development Cost</w:t>
            </w:r>
          </w:p>
        </w:tc>
        <w:tc>
          <w:tcPr>
            <w:tcW w:type="dxa" w:w="4680"/>
            <w:tcBorders>
              <w:top w:val="single" w:color="CCCCCC" w:sz="1"/>
              <w:left w:val="single" w:color="CCCCCC" w:sz="1"/>
              <w:bottom w:val="single" w:color="CCCCCC" w:sz="1"/>
              <w:right w:val="single" w:color="CCCCCC" w:sz="1"/>
            </w:tcBorders>
            <w:shd w:fill="e8f4f8" w:val="clear"/>
            <w:tcMar>
              <w:top w:type="dxa" w:w="100"/>
              <w:left w:type="dxa" w:w="120"/>
              <w:bottom w:type="dxa" w:w="100"/>
              <w:right w:type="dxa" w:w="120"/>
            </w:tcMar>
          </w:tcPr>
          <w:p>
            <w:r>
              <w:rPr>
                <w:b/>
                <w:bCs/>
                <w:sz w:val="24"/>
                <w:szCs w:val="24"/>
              </w:rPr>
              <w:t xml:space="preserve">$2,000</w:t>
            </w:r>
          </w:p>
        </w:tc>
      </w:tr>
    </w:tbl>
    <w:p>
      <w:pPr>
        <w:pStyle w:val="Heading2"/>
      </w:pPr>
      <w:r>
        <w:t xml:space="preserve">Payment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c5282" w:val="clear"/>
            <w:tcMar>
              <w:top w:type="dxa" w:w="100"/>
              <w:left w:type="dxa" w:w="120"/>
              <w:bottom w:type="dxa" w:w="100"/>
              <w:right w:type="dxa" w:w="120"/>
            </w:tcMar>
          </w:tcPr>
          <w:p>
            <w:r>
              <w:rPr>
                <w:b/>
                <w:bCs/>
                <w:color w:val="FFFFFF"/>
                <w:sz w:val="22"/>
                <w:szCs w:val="22"/>
              </w:rPr>
              <w:t xml:space="preserve">Milestone</w:t>
            </w:r>
          </w:p>
        </w:tc>
        <w:tc>
          <w:tcPr>
            <w:tcW w:type="dxa" w:w="3120"/>
            <w:tcBorders>
              <w:top w:val="single" w:color="CCCCCC" w:sz="1"/>
              <w:left w:val="single" w:color="CCCCCC" w:sz="1"/>
              <w:bottom w:val="single" w:color="CCCCCC" w:sz="1"/>
              <w:right w:val="single" w:color="CCCCCC" w:sz="1"/>
            </w:tcBorders>
            <w:shd w:fill="2c5282" w:val="clear"/>
            <w:tcMar>
              <w:top w:type="dxa" w:w="100"/>
              <w:left w:type="dxa" w:w="120"/>
              <w:bottom w:type="dxa" w:w="100"/>
              <w:right w:type="dxa" w:w="120"/>
            </w:tcMar>
          </w:tcPr>
          <w:p>
            <w:r>
              <w:rPr>
                <w:b/>
                <w:bCs/>
                <w:color w:val="FFFFFF"/>
                <w:sz w:val="22"/>
                <w:szCs w:val="22"/>
              </w:rPr>
              <w:t xml:space="preserve">Percentage</w:t>
            </w:r>
          </w:p>
        </w:tc>
        <w:tc>
          <w:tcPr>
            <w:tcW w:type="dxa" w:w="3120"/>
            <w:tcBorders>
              <w:top w:val="single" w:color="CCCCCC" w:sz="1"/>
              <w:left w:val="single" w:color="CCCCCC" w:sz="1"/>
              <w:bottom w:val="single" w:color="CCCCCC" w:sz="1"/>
              <w:right w:val="single" w:color="CCCCCC" w:sz="1"/>
            </w:tcBorders>
            <w:shd w:fill="2c5282" w:val="clear"/>
            <w:tcMar>
              <w:top w:type="dxa" w:w="100"/>
              <w:left w:type="dxa" w:w="120"/>
              <w:bottom w:type="dxa" w:w="100"/>
              <w:right w:type="dxa" w:w="120"/>
            </w:tcMar>
          </w:tcPr>
          <w:p>
            <w:r>
              <w:rPr>
                <w:b/>
                <w:bCs/>
                <w:color w:val="FFFFFF"/>
                <w:sz w:val="22"/>
                <w:szCs w:val="22"/>
              </w:rPr>
              <w:t xml:space="preserve">Amount</w:t>
            </w:r>
          </w:p>
        </w:tc>
      </w:tr>
      <w:tr>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2"/>
                <w:szCs w:val="22"/>
              </w:rPr>
              <w:t xml:space="preserve">Project Kickoff</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2"/>
                <w:szCs w:val="22"/>
              </w:rPr>
              <w:t xml:space="preserve">50%</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2"/>
                <w:szCs w:val="22"/>
              </w:rPr>
              <w:t xml:space="preserve">$1,000</w:t>
            </w:r>
          </w:p>
        </w:tc>
      </w:tr>
      <w:tr>
        <w:tc>
          <w:tcPr>
            <w:tcW w:type="dxa" w:w="312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sz w:val="22"/>
                <w:szCs w:val="22"/>
              </w:rPr>
              <w:t xml:space="preserve">Final Delivery &amp; Turnover</w:t>
            </w:r>
          </w:p>
        </w:tc>
        <w:tc>
          <w:tcPr>
            <w:tcW w:type="dxa" w:w="312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sz w:val="22"/>
                <w:szCs w:val="22"/>
              </w:rPr>
              <w:t xml:space="preserve">50%</w:t>
            </w:r>
          </w:p>
        </w:tc>
        <w:tc>
          <w:tcPr>
            <w:tcW w:type="dxa" w:w="312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sz w:val="22"/>
                <w:szCs w:val="22"/>
              </w:rPr>
              <w:t xml:space="preserve">$1,000</w:t>
            </w:r>
          </w:p>
        </w:tc>
      </w:tr>
    </w:tbl>
    <w:p>
      <w:pPr>
        <w:pStyle w:val="Heading2"/>
      </w:pPr>
      <w:r>
        <w:t xml:space="preserve">What's Included</w:t>
      </w:r>
    </w:p>
    <w:p>
      <w:pPr>
        <w:spacing w:after="100"/>
      </w:pPr>
      <w:r>
        <w:rPr>
          <w:sz w:val="22"/>
          <w:szCs w:val="22"/>
        </w:rPr>
        <w:t xml:space="preserve">• Complete custom application development</w:t>
      </w:r>
    </w:p>
    <w:p>
      <w:pPr>
        <w:spacing w:after="100"/>
      </w:pPr>
      <w:r>
        <w:rPr>
          <w:sz w:val="22"/>
          <w:szCs w:val="22"/>
        </w:rPr>
        <w:t xml:space="preserve">• GoHighLevel integration setup and configuration</w:t>
      </w:r>
    </w:p>
    <w:p>
      <w:pPr>
        <w:spacing w:after="100"/>
      </w:pPr>
      <w:r>
        <w:rPr>
          <w:sz w:val="22"/>
          <w:szCs w:val="22"/>
        </w:rPr>
        <w:t xml:space="preserve">• Bulk processing capability (100+ companies at a time)</w:t>
      </w:r>
    </w:p>
    <w:p>
      <w:pPr>
        <w:spacing w:after="100"/>
      </w:pPr>
      <w:r>
        <w:rPr>
          <w:sz w:val="22"/>
          <w:szCs w:val="22"/>
        </w:rPr>
        <w:t xml:space="preserve">• Customizable research and email prompts</w:t>
      </w:r>
    </w:p>
    <w:p>
      <w:pPr>
        <w:spacing w:after="100"/>
      </w:pPr>
      <w:r>
        <w:rPr>
          <w:sz w:val="22"/>
          <w:szCs w:val="22"/>
        </w:rPr>
        <w:t xml:space="preserve">• Cost tracking dashboard per operation</w:t>
      </w:r>
    </w:p>
    <w:p>
      <w:pPr>
        <w:spacing w:after="100"/>
      </w:pPr>
      <w:r>
        <w:rPr>
          <w:sz w:val="22"/>
          <w:szCs w:val="22"/>
        </w:rPr>
        <w:t xml:space="preserve">• Web hosting and deployment</w:t>
      </w:r>
    </w:p>
    <w:p>
      <w:pPr>
        <w:spacing w:after="200"/>
      </w:pPr>
      <w:r>
        <w:rPr>
          <w:sz w:val="22"/>
          <w:szCs w:val="22"/>
        </w:rPr>
        <w:t xml:space="preserve">• Initial training and documentation</w:t>
      </w:r>
    </w:p>
    <w:p>
      <w:pPr>
        <w:pStyle w:val="Heading2"/>
      </w:pPr>
      <w:r>
        <w:t xml:space="preserve">What You Provide</w:t>
      </w:r>
    </w:p>
    <w:p>
      <w:pPr>
        <w:spacing w:after="100"/>
      </w:pPr>
      <w:r>
        <w:rPr>
          <w:sz w:val="22"/>
          <w:szCs w:val="22"/>
        </w:rPr>
        <w:t xml:space="preserve">• OpenAI API key (you control billing directly with OpenAI)</w:t>
      </w:r>
    </w:p>
    <w:p>
      <w:pPr>
        <w:spacing w:after="100"/>
      </w:pPr>
      <w:r>
        <w:rPr>
          <w:sz w:val="22"/>
          <w:szCs w:val="22"/>
        </w:rPr>
        <w:t xml:space="preserve">• Tavily API key (you control billing directly with Tavily)</w:t>
      </w:r>
    </w:p>
    <w:p>
      <w:pPr>
        <w:spacing w:after="100"/>
      </w:pPr>
      <w:r>
        <w:rPr>
          <w:sz w:val="22"/>
          <w:szCs w:val="22"/>
        </w:rPr>
        <w:t xml:space="preserve">• GoHighLevel API access credentials</w:t>
      </w:r>
    </w:p>
    <w:p>
      <w:pPr>
        <w:spacing w:after="200"/>
      </w:pPr>
      <w:r>
        <w:rPr>
          <w:sz w:val="22"/>
          <w:szCs w:val="22"/>
        </w:rPr>
        <w:t xml:space="preserve">• Sample company data for testing (100-1,000 records)</w:t>
      </w:r>
    </w:p>
    <w:p>
      <w:r>
        <w:br w:type="page"/>
      </w:r>
    </w:p>
    <w:p>
      <w:pPr>
        <w:pStyle w:val="Heading1"/>
      </w:pPr>
      <w:r>
        <w:t xml:space="preserve">Return on Investment Analysis</w:t>
      </w:r>
    </w:p>
    <w:p>
      <w:pPr>
        <w:pStyle w:val="Heading2"/>
      </w:pPr>
      <w:r>
        <w:t xml:space="preserve">12-Month Cost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b/>
                <w:bCs/>
                <w:color w:val="FFFFFF"/>
                <w:sz w:val="22"/>
                <w:szCs w:val="22"/>
              </w:rPr>
              <w:t xml:space="preserve">Solution</w:t>
            </w:r>
          </w:p>
        </w:tc>
        <w:tc>
          <w:tcPr>
            <w:tcW w:type="dxa" w:w="468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b/>
                <w:bCs/>
                <w:color w:val="FFFFFF"/>
                <w:sz w:val="22"/>
                <w:szCs w:val="22"/>
              </w:rPr>
              <w:t xml:space="preserve">12-Month Total Cost</w:t>
            </w:r>
          </w:p>
        </w:tc>
      </w:tr>
      <w:tr>
        <w:tc>
          <w:tcPr>
            <w:tcW w:type="dxa" w:w="4680"/>
            <w:tcBorders>
              <w:top w:val="single" w:color="CCCCCC" w:sz="1"/>
              <w:left w:val="single" w:color="CCCCCC" w:sz="1"/>
              <w:bottom w:val="single" w:color="CCCCCC" w:sz="1"/>
              <w:right w:val="single" w:color="CCCCCC" w:sz="1"/>
            </w:tcBorders>
            <w:shd w:fill="e8f4f8" w:val="clear"/>
            <w:tcMar>
              <w:top w:type="dxa" w:w="100"/>
              <w:left w:type="dxa" w:w="120"/>
              <w:bottom w:type="dxa" w:w="100"/>
              <w:right w:type="dxa" w:w="120"/>
            </w:tcMar>
          </w:tcPr>
          <w:p>
            <w:r>
              <w:rPr>
                <w:b/>
                <w:bCs/>
                <w:sz w:val="22"/>
                <w:szCs w:val="22"/>
              </w:rPr>
              <w:t xml:space="preserve">Custom App</w:t>
            </w:r>
          </w:p>
        </w:tc>
        <w:tc>
          <w:tcPr>
            <w:tcW w:type="dxa" w:w="4680"/>
            <w:tcBorders>
              <w:top w:val="single" w:color="CCCCCC" w:sz="1"/>
              <w:left w:val="single" w:color="CCCCCC" w:sz="1"/>
              <w:bottom w:val="single" w:color="CCCCCC" w:sz="1"/>
              <w:right w:val="single" w:color="CCCCCC" w:sz="1"/>
            </w:tcBorders>
            <w:shd w:fill="e8f4f8" w:val="clear"/>
            <w:tcMar>
              <w:top w:type="dxa" w:w="100"/>
              <w:left w:type="dxa" w:w="120"/>
              <w:bottom w:type="dxa" w:w="100"/>
              <w:right w:type="dxa" w:w="120"/>
            </w:tcMar>
          </w:tcPr>
          <w:p>
            <w:r>
              <w:rPr>
                <w:b/>
                <w:bCs/>
                <w:sz w:val="22"/>
                <w:szCs w:val="22"/>
              </w:rPr>
              <w:t xml:space="preserve">$2,000 + ~$720 API = $2,720</w:t>
            </w:r>
          </w:p>
        </w:tc>
      </w:tr>
      <w:tr>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2"/>
                <w:szCs w:val="22"/>
              </w:rPr>
              <w:t xml:space="preserve">Clay (Explorer Plan)</w:t>
            </w:r>
          </w:p>
        </w:tc>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2"/>
                <w:szCs w:val="22"/>
              </w:rPr>
              <w:t xml:space="preserve">$349 × 12 = $4,188</w:t>
            </w:r>
          </w:p>
        </w:tc>
      </w:tr>
      <w:tr>
        <w:tc>
          <w:tcPr>
            <w:tcW w:type="dxa" w:w="468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sz w:val="22"/>
                <w:szCs w:val="22"/>
              </w:rPr>
              <w:t xml:space="preserve">Apollo (3 users)</w:t>
            </w:r>
          </w:p>
        </w:tc>
        <w:tc>
          <w:tcPr>
            <w:tcW w:type="dxa" w:w="468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sz w:val="22"/>
                <w:szCs w:val="22"/>
              </w:rPr>
              <w:t xml:space="preserve">$147 × 12 = $1,764 (no AI)</w:t>
            </w:r>
          </w:p>
        </w:tc>
      </w:tr>
      <w:tr>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2"/>
                <w:szCs w:val="22"/>
              </w:rPr>
              <w:t xml:space="preserve">HubSpot Breeze Intelligence</w:t>
            </w:r>
          </w:p>
        </w:tc>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2"/>
                <w:szCs w:val="22"/>
              </w:rPr>
              <w:t xml:space="preserve">$100+ × 12 = $1,200+ (limited)</w:t>
            </w:r>
          </w:p>
        </w:tc>
      </w:tr>
    </w:tbl>
    <w:p>
      <w:pPr>
        <w:spacing w:before="300" w:after="200"/>
      </w:pPr>
      <w:r>
        <w:rPr>
          <w:b/>
          <w:bCs/>
          <w:sz w:val="22"/>
          <w:szCs w:val="22"/>
        </w:rPr>
        <w:t xml:space="preserve">Break-even Point: </w:t>
      </w:r>
      <w:r>
        <w:rPr>
          <w:sz w:val="22"/>
          <w:szCs w:val="22"/>
        </w:rPr>
        <w:t xml:space="preserve">Compared to Clay, the custom app pays for itself within 6-8 months. Unlike subscription tools, there are no ongoing platform fees after the initial build—only the API costs you directly control.</w:t>
      </w:r>
    </w:p>
    <w:p>
      <w:pPr>
        <w:pStyle w:val="Heading1"/>
      </w:pPr>
      <w:r>
        <w:t xml:space="preserve">Project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b/>
                <w:bCs/>
                <w:color w:val="FFFFFF"/>
                <w:sz w:val="22"/>
                <w:szCs w:val="22"/>
              </w:rPr>
              <w:t xml:space="preserve">Week</w:t>
            </w:r>
          </w:p>
        </w:tc>
        <w:tc>
          <w:tcPr>
            <w:tcW w:type="dxa" w:w="702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b/>
                <w:bCs/>
                <w:color w:val="FFFFFF"/>
                <w:sz w:val="22"/>
                <w:szCs w:val="22"/>
              </w:rPr>
              <w:t xml:space="preserve">Deliverable</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2"/>
                <w:szCs w:val="22"/>
              </w:rPr>
              <w:t xml:space="preserve">Week 1</w:t>
            </w:r>
          </w:p>
        </w:tc>
        <w:tc>
          <w:tcPr>
            <w:tcW w:type="dxa" w:w="70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2"/>
                <w:szCs w:val="22"/>
              </w:rPr>
              <w:t xml:space="preserve">Core research functionality with bulk processing</w:t>
            </w:r>
          </w:p>
        </w:tc>
      </w:tr>
      <w:tr>
        <w:tc>
          <w:tcPr>
            <w:tcW w:type="dxa" w:w="234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sz w:val="22"/>
                <w:szCs w:val="22"/>
              </w:rPr>
              <w:t xml:space="preserve">Week 2</w:t>
            </w:r>
          </w:p>
        </w:tc>
        <w:tc>
          <w:tcPr>
            <w:tcW w:type="dxa" w:w="702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sz w:val="22"/>
                <w:szCs w:val="22"/>
              </w:rPr>
              <w:t xml:space="preserve">Email drafting engine and GoHighLevel sync</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2"/>
                <w:szCs w:val="22"/>
              </w:rPr>
              <w:t xml:space="preserve">Week 3</w:t>
            </w:r>
          </w:p>
        </w:tc>
        <w:tc>
          <w:tcPr>
            <w:tcW w:type="dxa" w:w="70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2"/>
                <w:szCs w:val="22"/>
              </w:rPr>
              <w:t xml:space="preserve">Testing, refinement, and prompt optimization</w:t>
            </w:r>
          </w:p>
        </w:tc>
      </w:tr>
      <w:tr>
        <w:tc>
          <w:tcPr>
            <w:tcW w:type="dxa" w:w="234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sz w:val="22"/>
                <w:szCs w:val="22"/>
              </w:rPr>
              <w:t xml:space="preserve">Week 4</w:t>
            </w:r>
          </w:p>
        </w:tc>
        <w:tc>
          <w:tcPr>
            <w:tcW w:type="dxa" w:w="702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sz w:val="22"/>
                <w:szCs w:val="22"/>
              </w:rPr>
              <w:t xml:space="preserve">Final delivery, training, and documentation</w:t>
            </w:r>
          </w:p>
        </w:tc>
      </w:tr>
    </w:tbl>
    <w:p>
      <w:r>
        <w:br w:type="page"/>
      </w:r>
    </w:p>
    <w:p>
      <w:pPr>
        <w:pStyle w:val="Heading1"/>
      </w:pPr>
      <w:r>
        <w:t xml:space="preserve">Next Steps</w:t>
      </w:r>
    </w:p>
    <w:p>
      <w:pPr>
        <w:spacing w:after="100"/>
      </w:pPr>
      <w:r>
        <w:rPr>
          <w:b/>
          <w:bCs/>
          <w:sz w:val="22"/>
          <w:szCs w:val="22"/>
        </w:rPr>
        <w:t xml:space="preserve">1. </w:t>
      </w:r>
      <w:r>
        <w:rPr>
          <w:sz w:val="22"/>
          <w:szCs w:val="22"/>
        </w:rPr>
        <w:t xml:space="preserve">Review this proposal and confirm scope alignment</w:t>
      </w:r>
    </w:p>
    <w:p>
      <w:pPr>
        <w:spacing w:after="100"/>
      </w:pPr>
      <w:r>
        <w:rPr>
          <w:b/>
          <w:bCs/>
          <w:sz w:val="22"/>
          <w:szCs w:val="22"/>
        </w:rPr>
        <w:t xml:space="preserve">2. </w:t>
      </w:r>
      <w:r>
        <w:rPr>
          <w:sz w:val="22"/>
          <w:szCs w:val="22"/>
        </w:rPr>
        <w:t xml:space="preserve">Provide sample company data (100-1,000 records) for testing</w:t>
      </w:r>
    </w:p>
    <w:p>
      <w:pPr>
        <w:spacing w:after="100"/>
      </w:pPr>
      <w:r>
        <w:rPr>
          <w:b/>
          <w:bCs/>
          <w:sz w:val="22"/>
          <w:szCs w:val="22"/>
        </w:rPr>
        <w:t xml:space="preserve">3. </w:t>
      </w:r>
      <w:r>
        <w:rPr>
          <w:sz w:val="22"/>
          <w:szCs w:val="22"/>
        </w:rPr>
        <w:t xml:space="preserve">Set up API keys (OpenAI and Tavily accounts)</w:t>
      </w:r>
    </w:p>
    <w:p>
      <w:pPr>
        <w:spacing w:after="100"/>
      </w:pPr>
      <w:r>
        <w:rPr>
          <w:b/>
          <w:bCs/>
          <w:sz w:val="22"/>
          <w:szCs w:val="22"/>
        </w:rPr>
        <w:t xml:space="preserve">4. </w:t>
      </w:r>
      <w:r>
        <w:rPr>
          <w:sz w:val="22"/>
          <w:szCs w:val="22"/>
        </w:rPr>
        <w:t xml:space="preserve">Process initial payment (50% deposit)</w:t>
      </w:r>
    </w:p>
    <w:p>
      <w:pPr>
        <w:spacing w:after="200"/>
      </w:pPr>
      <w:r>
        <w:rPr>
          <w:b/>
          <w:bCs/>
          <w:sz w:val="22"/>
          <w:szCs w:val="22"/>
        </w:rPr>
        <w:t xml:space="preserve">5. </w:t>
      </w:r>
      <w:r>
        <w:rPr>
          <w:sz w:val="22"/>
          <w:szCs w:val="22"/>
        </w:rPr>
        <w:t xml:space="preserve">Kick off development!</w:t>
      </w:r>
    </w:p>
    <w:p>
      <w:pPr>
        <w:spacing w:after="400"/>
      </w:pPr>
    </w:p>
    <w:p>
      <w:pPr>
        <w:spacing w:after="200"/>
        <w:jc w:val="center"/>
      </w:pPr>
      <w:r>
        <w:rPr>
          <w:b/>
          <w:bCs/>
          <w:color w:val="1a365d"/>
          <w:sz w:val="28"/>
          <w:szCs w:val="28"/>
        </w:rPr>
        <w:t xml:space="preserve">Ready to get started?</w:t>
      </w:r>
    </w:p>
    <w:p>
      <w:pPr>
        <w:jc w:val="center"/>
      </w:pPr>
      <w:r>
        <w:rPr>
          <w:sz w:val="24"/>
          <w:szCs w:val="24"/>
        </w:rPr>
        <w:t xml:space="preserve">Contact: Mervin De Castro</w:t>
      </w:r>
    </w:p>
    <w:p>
      <w:pPr>
        <w:jc w:val="center"/>
      </w:pPr>
      <w:r>
        <w:rPr>
          <w:sz w:val="24"/>
          <w:szCs w:val="24"/>
        </w:rPr>
        <w:t xml:space="preserve">Email: cmm@lc.highlevelgenerator.com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pPr>
    <w:rPr>
      <w:rFonts w:ascii="Arial" w:cs="Arial" w:eastAsia="Arial" w:hAnsi="Arial"/>
      <w:b/>
      <w:bCs/>
      <w:color w:val="1a365d"/>
      <w:sz w:val="36"/>
      <w:szCs w:val="36"/>
    </w:rPr>
  </w:style>
  <w:style w:type="paragraph" w:styleId="Heading2">
    <w:name w:val="Heading 2"/>
    <w:basedOn w:val="Normal"/>
    <w:next w:val="Normal"/>
    <w:qFormat/>
    <w:pPr>
      <w:spacing w:before="300" w:after="150"/>
    </w:pPr>
    <w:rPr>
      <w:rFonts w:ascii="Arial" w:cs="Arial" w:eastAsia="Arial" w:hAnsi="Arial"/>
      <w:b/>
      <w:bCs/>
      <w:color w:val="2c5282"/>
      <w:sz w:val="28"/>
      <w:szCs w:val="28"/>
    </w:rPr>
  </w:style>
  <w:style w:type="paragraph" w:styleId="Heading3">
    <w:name w:val="Heading 3"/>
    <w:basedOn w:val="Normal"/>
    <w:next w:val="Normal"/>
    <w:qFormat/>
    <w:pPr>
      <w:spacing w:before="200" w:after="100"/>
    </w:pPr>
    <w:rPr>
      <w:rFonts w:ascii="Arial" w:cs="Arial" w:eastAsia="Arial" w:hAnsi="Arial"/>
      <w:b/>
      <w:bCs/>
      <w:color w:val="2d374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2026-02-05T14:13:49.918Z</dcterms:created>
  <dcterms:modified xsi:type="dcterms:W3CDTF">2026-02-05T14:13:49.918Z</dcterms:modified>
</cp:coreProperties>
</file>

<file path=docProps/custom.xml><?xml version="1.0" encoding="utf-8"?>
<Properties xmlns="http://schemas.openxmlformats.org/officeDocument/2006/custom-properties" xmlns:vt="http://schemas.openxmlformats.org/officeDocument/2006/docPropsVTypes"/>
</file>