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Assumptions and Trade-offs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5F8A"/>
          <w:sz w:val="26"/>
          <w:szCs w:val="26"/>
        </w:rPr>
        <w:t xml:space="preserve">Veritas Claims Analytics</w:t>
      </w:r>
    </w:p>
    <w:p>
      <w:pPr>
        <w:pBdr>
          <w:bottom w:val="single" w:color="2E5F8A" w:sz="12" w:space="8"/>
        </w:pBdr>
        <w:spacing w:after="2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Business, Technical &amp; Data Assumptions — Implementation Trade-offs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Document Version 1.0</w:t>
      </w:r>
    </w:p>
    <w:p>
      <w:pPr>
        <w:spacing w:after="3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Prepared for Engineering, Product, and Architecture Review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Business Assumptions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Operational Scope: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target system is modeled as a processing prototype for operations engineers and claim reviewers, not a real-time transactional system for patients.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Standardization Value: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Schema mapping, name standardization, and range flagging significantly reduce manual audit workloads (target: 60%+ time savings).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Sources: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ingestion mechanism expects files to correspond to discrete batches dropped in designated GCS buckets or local folders by upstream OCR systems.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Technical Assumptions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Wrapper Standard: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Upstream systems wrap raw clinic/lab responses in a consistent Veritas Claims API wrapper containing traceId, documentId, correlationId, and a list of responseDetails.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FastAPI Portability: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local setup runs on SQLite for speed and ease of testing, but SQLAlchemy models are written using standard SQL idioms to allow switching to PostgreSQL via a single .env change.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RapidFuzz Reliability: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Fuzzy string matching against a dictionary of canonical terms is sufficient to correct OCR errors (e.g., "aemoglobin" → HAEMOGLOBIN) with a confidence score above 72%.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Data Assumptions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Format Types: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Documents are marked with classifiers like lab_report and discharge_summary.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Lab Results Decimals: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Decimals in numeric readings use standard dot notation (e.g. 13.7). Commas in numbers are treated as thousands separators (e.g. 132,000).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Demographics Consistency: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Demographic details (patient name, age, gender) are consistent across all response details within a single wrapped document.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Scope Exclusions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Write Access via UI: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Claim reviewers cannot edit or delete records directly inside the React dashboard. The system acts as a read-only audit log.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Automated File Polling: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There is no active filesystem watcher (e.g. watchdog). Ingestion is triggered explicitly via API calls or UI clicks.</w:t>
      </w: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Trade-offs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5.1  SQLite vs. PostgreSQL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bottom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Trade-off: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Used SQLite by default instead of spinning up a full Docker container with PostgreSQL.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7D4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  PROS</w:t>
            </w:r>
          </w:p>
        </w:tc>
        <w:tc>
          <w:tcPr>
            <w:tcW w:type="dxa" w:w="4680"/>
            <w:shd w:fill="A6353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✗  CONS</w:t>
            </w:r>
          </w:p>
        </w:tc>
      </w:tr>
      <w:tr>
        <w:tc>
          <w:tcPr>
            <w:tcW w:type="dxa" w:w="4680"/>
            <w:shd w:fill="E9F5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Instantly runnable, zero database setup overhead.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Runs unit tests in-memory in under 1 second.</w:t>
            </w:r>
          </w:p>
        </w:tc>
        <w:tc>
          <w:tcPr>
            <w:tcW w:type="dxa" w:w="4680"/>
            <w:shd w:fill="FBEE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0" w:line="258"/>
            </w:pPr>
            <w:r>
              <w:rPr>
                <w:rFonts w:ascii="Calibri" w:cs="Calibri" w:eastAsia="Calibri" w:hAnsi="Calibri"/>
                <w:color w:val="6B2429"/>
                <w:sz w:val="19"/>
                <w:szCs w:val="19"/>
              </w:rPr>
              <w:t xml:space="preserve">Limits concurrent write transactions during high-throughput loads.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5.2  RapidFuzz Dictionary Mapping vs. LLM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bottom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Trade-off: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Used token-sort fuzzy matching against a list of aliases rather than sending lab result names to an LLM (e.g. Gemini API).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7D4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  PROS</w:t>
            </w:r>
          </w:p>
        </w:tc>
        <w:tc>
          <w:tcPr>
            <w:tcW w:type="dxa" w:w="4680"/>
            <w:shd w:fill="A6353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✗  CONS</w:t>
            </w:r>
          </w:p>
        </w:tc>
      </w:tr>
      <w:tr>
        <w:tc>
          <w:tcPr>
            <w:tcW w:type="dxa" w:w="4680"/>
            <w:shd w:fill="E9F5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Highly deterministic, zero API cost.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Executes in microseconds.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100% predictable auditing.</w:t>
            </w:r>
          </w:p>
        </w:tc>
        <w:tc>
          <w:tcPr>
            <w:tcW w:type="dxa" w:w="4680"/>
            <w:shd w:fill="FBEE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0" w:line="258"/>
            </w:pPr>
            <w:r>
              <w:rPr>
                <w:rFonts w:ascii="Calibri" w:cs="Calibri" w:eastAsia="Calibri" w:hAnsi="Calibri"/>
                <w:color w:val="6B2429"/>
                <w:sz w:val="19"/>
                <w:szCs w:val="19"/>
              </w:rPr>
              <w:t xml:space="preserve">Cannot resolve highly complex semantic variations that are not in the synonym lists.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5.3  Flat Database Schema vs. Normalized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bottom w:val="single" w:color="BFBFBF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Trade-off: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Stored all test results and discharge medications in a single flat standardized_records table instead of normalizing into separate Patients, Visits, Labs, and Medications tables.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7D4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  PROS</w:t>
            </w:r>
          </w:p>
        </w:tc>
        <w:tc>
          <w:tcPr>
            <w:tcW w:type="dxa" w:w="4680"/>
            <w:shd w:fill="A6353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✗  CONS</w:t>
            </w:r>
          </w:p>
        </w:tc>
      </w:tr>
      <w:tr>
        <w:tc>
          <w:tcPr>
            <w:tcW w:type="dxa" w:w="4680"/>
            <w:shd w:fill="E9F5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Matches BigQuery destination schemas perfectly.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Allows extremely simple and fast bulk inserts.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line="258"/>
            </w:pPr>
            <w:r>
              <w:rPr>
                <w:rFonts w:ascii="Calibri" w:cs="Calibri" w:eastAsia="Calibri" w:hAnsi="Calibri"/>
                <w:color w:val="1B4D32"/>
                <w:sz w:val="19"/>
                <w:szCs w:val="19"/>
              </w:rPr>
              <w:t xml:space="preserve">Simplifies analytics reporting.</w:t>
            </w:r>
          </w:p>
        </w:tc>
        <w:tc>
          <w:tcPr>
            <w:tcW w:type="dxa" w:w="4680"/>
            <w:shd w:fill="FBEEE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0" w:line="258"/>
            </w:pPr>
            <w:r>
              <w:rPr>
                <w:rFonts w:ascii="Calibri" w:cs="Calibri" w:eastAsia="Calibri" w:hAnsi="Calibri"/>
                <w:color w:val="6B2429"/>
                <w:sz w:val="19"/>
                <w:szCs w:val="19"/>
              </w:rPr>
              <w:t xml:space="preserve">Generates columns with null values (e.g., test fields are null on medication rows).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2E5F8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Future Improvements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Async Ingestion Workers: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 Celery and Redis to run ingestion asynchronously in the background for batch files &gt; 10,000 documents.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GCS Trigger Integration: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Deploy a Cloud Function to trigger /api/ingest automatically when a new file is uploaded to Google Cloud Storage.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Interactive Synonyms Adjuster: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Expose a UI page for clinical admins to add aliases directly to test_mapping.json from the dashboard.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16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2026-07-18T09:01:50.406Z</dcterms:created>
  <dcterms:modified xsi:type="dcterms:W3CDTF">2026-07-18T09:01:50.417Z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