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DE9E" w14:textId="77777777" w:rsidR="008F4ED1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Software Design Document</w:t>
      </w:r>
    </w:p>
    <w:p w14:paraId="3EE01EDA" w14:textId="77777777" w:rsidR="008F4ED1" w:rsidRDefault="00000000">
      <w:pPr>
        <w:spacing w:after="20"/>
      </w:pPr>
      <w:r>
        <w:rPr>
          <w:b/>
          <w:bCs/>
          <w:color w:val="2E5F8A"/>
          <w:sz w:val="26"/>
          <w:szCs w:val="26"/>
        </w:rPr>
        <w:t>Veritas Claims Analytics</w:t>
      </w:r>
    </w:p>
    <w:p w14:paraId="370C67AA" w14:textId="77777777" w:rsidR="008F4ED1" w:rsidRDefault="00000000">
      <w:pPr>
        <w:pBdr>
          <w:bottom w:val="single" w:sz="12" w:space="8" w:color="2E5F8A"/>
        </w:pBdr>
        <w:spacing w:after="260"/>
      </w:pPr>
      <w:r>
        <w:rPr>
          <w:i/>
          <w:iCs/>
          <w:color w:val="666666"/>
        </w:rPr>
        <w:t>Architecture, Modules, Data Model &amp; Deployment</w:t>
      </w:r>
    </w:p>
    <w:p w14:paraId="71F1AFC2" w14:textId="77777777" w:rsidR="008F4ED1" w:rsidRDefault="00000000">
      <w:pPr>
        <w:spacing w:after="40"/>
      </w:pPr>
      <w:r>
        <w:rPr>
          <w:color w:val="666666"/>
          <w:sz w:val="18"/>
          <w:szCs w:val="18"/>
        </w:rPr>
        <w:t>Document Version 1.0</w:t>
      </w:r>
    </w:p>
    <w:p w14:paraId="5FF09EDC" w14:textId="77777777" w:rsidR="008F4ED1" w:rsidRDefault="00000000">
      <w:pPr>
        <w:spacing w:after="320"/>
      </w:pPr>
      <w:r>
        <w:rPr>
          <w:color w:val="666666"/>
          <w:sz w:val="18"/>
          <w:szCs w:val="18"/>
        </w:rPr>
        <w:t>Prepared for Engineering &amp; Architecture Review</w:t>
      </w:r>
    </w:p>
    <w:p w14:paraId="2D0B41A7" w14:textId="77777777" w:rsidR="008F4ED1" w:rsidRDefault="00000000">
      <w:pPr>
        <w:pStyle w:val="Heading1"/>
        <w:pBdr>
          <w:bottom w:val="single" w:sz="6" w:space="4" w:color="2E5F8A"/>
        </w:pBdr>
        <w:spacing w:before="400" w:after="160"/>
      </w:pPr>
      <w:r>
        <w:rPr>
          <w:b/>
          <w:bCs/>
          <w:color w:val="1F3864"/>
          <w:sz w:val="28"/>
          <w:szCs w:val="28"/>
        </w:rPr>
        <w:t>1. High-Level Architecture</w:t>
      </w:r>
    </w:p>
    <w:p w14:paraId="23E27471" w14:textId="6951342C" w:rsidR="008F4ED1" w:rsidRDefault="00910C31">
      <w:pPr>
        <w:spacing w:after="140" w:line="27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24D042" wp14:editId="5FE23426">
            <wp:simplePos x="0" y="0"/>
            <wp:positionH relativeFrom="column">
              <wp:posOffset>-108857</wp:posOffset>
            </wp:positionH>
            <wp:positionV relativeFrom="paragraph">
              <wp:posOffset>463368</wp:posOffset>
            </wp:positionV>
            <wp:extent cx="6576812" cy="1217526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812" cy="12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222222"/>
        </w:rPr>
        <w:t>The Veritas Claims Analytics pipeline operates on a decoupled micro-architecture where files are ingested, parsed into flat structures, normalized using fuzzy token logic, checked for reference boundary flags, and stored in a relational database.</w:t>
      </w:r>
    </w:p>
    <w:p w14:paraId="4199E58C" w14:textId="2A35B443" w:rsidR="008F4ED1" w:rsidRDefault="008F4ED1">
      <w:pPr>
        <w:spacing w:before="100" w:after="60"/>
        <w:jc w:val="center"/>
      </w:pPr>
    </w:p>
    <w:p w14:paraId="4808052C" w14:textId="77777777" w:rsidR="008F4ED1" w:rsidRDefault="00000000">
      <w:pPr>
        <w:spacing w:before="100" w:after="260"/>
        <w:jc w:val="center"/>
      </w:pPr>
      <w:r>
        <w:rPr>
          <w:i/>
          <w:iCs/>
          <w:color w:val="666666"/>
          <w:sz w:val="18"/>
          <w:szCs w:val="18"/>
        </w:rPr>
        <w:t>Figure 1.1 — High-level pipeline architecture</w:t>
      </w:r>
    </w:p>
    <w:p w14:paraId="76BB569A" w14:textId="77777777" w:rsidR="008F4ED1" w:rsidRDefault="00000000">
      <w:pPr>
        <w:pStyle w:val="Heading1"/>
        <w:pBdr>
          <w:bottom w:val="single" w:sz="6" w:space="4" w:color="2E5F8A"/>
        </w:pBdr>
        <w:spacing w:before="400" w:after="160"/>
      </w:pPr>
      <w:r>
        <w:rPr>
          <w:b/>
          <w:bCs/>
          <w:color w:val="1F3864"/>
          <w:sz w:val="28"/>
          <w:szCs w:val="28"/>
        </w:rPr>
        <w:t>2. Low-Level Architecture &amp; Modules</w:t>
      </w:r>
    </w:p>
    <w:p w14:paraId="0BF64830" w14:textId="77777777" w:rsidR="008F4ED1" w:rsidRDefault="00000000">
      <w:pPr>
        <w:pStyle w:val="Heading2"/>
        <w:spacing w:before="260" w:after="100"/>
      </w:pPr>
      <w:proofErr w:type="gramStart"/>
      <w:r>
        <w:rPr>
          <w:b/>
          <w:bCs/>
          <w:color w:val="2E5F8A"/>
          <w:sz w:val="22"/>
          <w:szCs w:val="22"/>
        </w:rPr>
        <w:t>2.1  src/ingestion/ingestion.py</w:t>
      </w:r>
      <w:proofErr w:type="gramEnd"/>
    </w:p>
    <w:p w14:paraId="023BFED5" w14:textId="77777777" w:rsidR="008F4ED1" w:rsidRDefault="00000000">
      <w:pPr>
        <w:spacing w:after="140" w:line="276" w:lineRule="auto"/>
      </w:pPr>
      <w:r>
        <w:rPr>
          <w:color w:val="222222"/>
        </w:rPr>
        <w:t>Reads raw JSON files. Validates that the file structure matches the Veritas wrapper. Extracts top-level tracking metadata and computes MD5 checksums of raw file contents.</w:t>
      </w:r>
    </w:p>
    <w:p w14:paraId="52ABD6FE" w14:textId="77777777" w:rsidR="008F4ED1" w:rsidRDefault="00000000">
      <w:pPr>
        <w:spacing w:after="160"/>
      </w:pPr>
      <w:r>
        <w:rPr>
          <w:b/>
          <w:bCs/>
          <w:color w:val="222222"/>
        </w:rPr>
        <w:t xml:space="preserve">Extracted fields: </w:t>
      </w:r>
      <w:proofErr w:type="spellStart"/>
      <w:r>
        <w:rPr>
          <w:rFonts w:ascii="Consolas" w:eastAsia="Consolas" w:hAnsi="Consolas" w:cs="Consolas"/>
          <w:color w:val="A6353A"/>
          <w:sz w:val="18"/>
          <w:szCs w:val="18"/>
          <w:shd w:val="clear" w:color="auto" w:fill="F5EDEE"/>
        </w:rPr>
        <w:t>traceId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53A"/>
          <w:sz w:val="18"/>
          <w:szCs w:val="18"/>
          <w:shd w:val="clear" w:color="auto" w:fill="F5EDEE"/>
        </w:rPr>
        <w:t>documentId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53A"/>
          <w:sz w:val="18"/>
          <w:szCs w:val="18"/>
          <w:shd w:val="clear" w:color="auto" w:fill="F5EDEE"/>
        </w:rPr>
        <w:t>correlationId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6353A"/>
          <w:sz w:val="18"/>
          <w:szCs w:val="18"/>
          <w:shd w:val="clear" w:color="auto" w:fill="F5EDEE"/>
        </w:rPr>
        <w:t>metaDetails</w:t>
      </w:r>
      <w:proofErr w:type="spellEnd"/>
      <w:r>
        <w:t>.</w:t>
      </w:r>
    </w:p>
    <w:p w14:paraId="2563AF29" w14:textId="77777777" w:rsidR="008F4ED1" w:rsidRDefault="00000000">
      <w:pPr>
        <w:pStyle w:val="Heading2"/>
        <w:spacing w:before="260" w:after="100"/>
      </w:pPr>
      <w:proofErr w:type="gramStart"/>
      <w:r>
        <w:rPr>
          <w:b/>
          <w:bCs/>
          <w:color w:val="2E5F8A"/>
          <w:sz w:val="22"/>
          <w:szCs w:val="22"/>
        </w:rPr>
        <w:t>2.2  src/parser/parser.py</w:t>
      </w:r>
      <w:proofErr w:type="gramEnd"/>
    </w:p>
    <w:p w14:paraId="7C437D0D" w14:textId="77777777" w:rsidR="008F4ED1" w:rsidRDefault="00000000">
      <w:pPr>
        <w:spacing w:after="140" w:line="276" w:lineRule="auto"/>
      </w:pPr>
      <w:r>
        <w:rPr>
          <w:color w:val="222222"/>
        </w:rPr>
        <w:t>Extracts internal document data based on the classifier type:</w:t>
      </w:r>
    </w:p>
    <w:p w14:paraId="44214EAA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  <w:color w:val="222222"/>
        </w:rPr>
        <w:t xml:space="preserve">Lab Reports — </w:t>
      </w:r>
      <w:r>
        <w:rPr>
          <w:color w:val="222222"/>
        </w:rPr>
        <w:t>Extracts patient demographics (</w:t>
      </w:r>
      <w:proofErr w:type="spellStart"/>
      <w:r>
        <w:rPr>
          <w:color w:val="222222"/>
        </w:rPr>
        <w:t>patient_name</w:t>
      </w:r>
      <w:proofErr w:type="spellEnd"/>
      <w:r>
        <w:rPr>
          <w:color w:val="222222"/>
        </w:rPr>
        <w:t xml:space="preserve">, age, gender, </w:t>
      </w:r>
      <w:proofErr w:type="spellStart"/>
      <w:r>
        <w:rPr>
          <w:color w:val="222222"/>
        </w:rPr>
        <w:t>uhid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lab_or_hospital_name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reports_date</w:t>
      </w:r>
      <w:proofErr w:type="spellEnd"/>
      <w:r>
        <w:rPr>
          <w:color w:val="222222"/>
        </w:rPr>
        <w:t xml:space="preserve">) and iterates through the </w:t>
      </w:r>
      <w:proofErr w:type="spellStart"/>
      <w:r>
        <w:rPr>
          <w:color w:val="222222"/>
        </w:rPr>
        <w:t>report_details</w:t>
      </w:r>
      <w:proofErr w:type="spellEnd"/>
      <w:r>
        <w:rPr>
          <w:color w:val="222222"/>
        </w:rPr>
        <w:t xml:space="preserve"> list.</w:t>
      </w:r>
    </w:p>
    <w:p w14:paraId="4CD39BCF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  <w:color w:val="222222"/>
        </w:rPr>
        <w:t xml:space="preserve">Discharge Summaries — </w:t>
      </w:r>
      <w:r>
        <w:rPr>
          <w:color w:val="222222"/>
        </w:rPr>
        <w:t xml:space="preserve">Extracts discharge header fields and loops through the </w:t>
      </w:r>
      <w:proofErr w:type="spellStart"/>
      <w:r>
        <w:rPr>
          <w:color w:val="222222"/>
        </w:rPr>
        <w:t>dischargeMedications</w:t>
      </w:r>
      <w:proofErr w:type="spellEnd"/>
      <w:r>
        <w:rPr>
          <w:color w:val="222222"/>
        </w:rPr>
        <w:t xml:space="preserve"> list.</w:t>
      </w:r>
    </w:p>
    <w:p w14:paraId="6D0D3C0C" w14:textId="77777777" w:rsidR="008F4ED1" w:rsidRDefault="008F4ED1">
      <w:pPr>
        <w:spacing w:after="160"/>
      </w:pPr>
    </w:p>
    <w:p w14:paraId="2FC58F1F" w14:textId="77777777" w:rsidR="008F4ED1" w:rsidRDefault="00000000">
      <w:pPr>
        <w:pStyle w:val="Heading2"/>
        <w:spacing w:before="260" w:after="100"/>
      </w:pPr>
      <w:proofErr w:type="gramStart"/>
      <w:r>
        <w:rPr>
          <w:b/>
          <w:bCs/>
          <w:color w:val="2E5F8A"/>
          <w:sz w:val="22"/>
          <w:szCs w:val="22"/>
        </w:rPr>
        <w:t>2.3  src/standardizer/standardizer.py</w:t>
      </w:r>
      <w:proofErr w:type="gramEnd"/>
    </w:p>
    <w:p w14:paraId="49106E5B" w14:textId="77777777" w:rsidR="008F4ED1" w:rsidRDefault="00000000">
      <w:pPr>
        <w:spacing w:after="140" w:line="276" w:lineRule="auto"/>
      </w:pPr>
      <w:r>
        <w:rPr>
          <w:color w:val="222222"/>
        </w:rPr>
        <w:t xml:space="preserve">Performs nomenclature mapping. Connects to </w:t>
      </w:r>
      <w:proofErr w:type="spellStart"/>
      <w:r>
        <w:rPr>
          <w:color w:val="222222"/>
        </w:rPr>
        <w:t>test_</w:t>
      </w:r>
      <w:proofErr w:type="gramStart"/>
      <w:r>
        <w:rPr>
          <w:color w:val="222222"/>
        </w:rPr>
        <w:t>mapping.json</w:t>
      </w:r>
      <w:proofErr w:type="spellEnd"/>
      <w:proofErr w:type="gramEnd"/>
      <w:r>
        <w:rPr>
          <w:color w:val="222222"/>
        </w:rPr>
        <w:t xml:space="preserve"> (canonical test library). For each test name:</w:t>
      </w:r>
    </w:p>
    <w:p w14:paraId="16666796" w14:textId="77777777" w:rsidR="008F4ED1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color w:val="222222"/>
        </w:rPr>
        <w:t>Performs an exact match check.</w:t>
      </w:r>
    </w:p>
    <w:p w14:paraId="71A0A6C1" w14:textId="77777777" w:rsidR="008F4ED1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color w:val="222222"/>
        </w:rPr>
        <w:t xml:space="preserve">Falls back to a token-sort fuzzy </w:t>
      </w:r>
      <w:proofErr w:type="spellStart"/>
      <w:r>
        <w:rPr>
          <w:color w:val="222222"/>
        </w:rPr>
        <w:t>match</w:t>
      </w:r>
      <w:proofErr w:type="spellEnd"/>
      <w:r>
        <w:rPr>
          <w:color w:val="222222"/>
        </w:rPr>
        <w:t xml:space="preserve"> score via </w:t>
      </w:r>
      <w:proofErr w:type="spellStart"/>
      <w:r>
        <w:rPr>
          <w:color w:val="222222"/>
        </w:rPr>
        <w:t>RapidFuzz</w:t>
      </w:r>
      <w:proofErr w:type="spellEnd"/>
      <w:r>
        <w:rPr>
          <w:color w:val="222222"/>
        </w:rPr>
        <w:t>.</w:t>
      </w:r>
    </w:p>
    <w:p w14:paraId="3B2A1BF8" w14:textId="77777777" w:rsidR="008F4ED1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rPr>
          <w:color w:val="222222"/>
        </w:rPr>
        <w:t>Performs unit conversion mapping.</w:t>
      </w:r>
    </w:p>
    <w:p w14:paraId="597FDBA0" w14:textId="77777777" w:rsidR="008F4ED1" w:rsidRDefault="008F4ED1">
      <w:pPr>
        <w:spacing w:after="160"/>
      </w:pPr>
    </w:p>
    <w:p w14:paraId="19195D7F" w14:textId="77777777" w:rsidR="008F4ED1" w:rsidRDefault="00000000">
      <w:pPr>
        <w:pStyle w:val="Heading2"/>
        <w:spacing w:before="260" w:after="100"/>
      </w:pPr>
      <w:proofErr w:type="gramStart"/>
      <w:r>
        <w:rPr>
          <w:b/>
          <w:bCs/>
          <w:color w:val="2E5F8A"/>
          <w:sz w:val="22"/>
          <w:szCs w:val="22"/>
        </w:rPr>
        <w:t>2.4  src/validator/validator.py</w:t>
      </w:r>
      <w:proofErr w:type="gramEnd"/>
    </w:p>
    <w:p w14:paraId="7D2498D7" w14:textId="77777777" w:rsidR="008F4ED1" w:rsidRDefault="00000000">
      <w:pPr>
        <w:spacing w:after="140" w:line="276" w:lineRule="auto"/>
      </w:pPr>
      <w:r>
        <w:rPr>
          <w:color w:val="222222"/>
        </w:rPr>
        <w:lastRenderedPageBreak/>
        <w:t xml:space="preserve">Compares </w:t>
      </w:r>
      <w:proofErr w:type="spellStart"/>
      <w:r>
        <w:rPr>
          <w:color w:val="222222"/>
        </w:rPr>
        <w:t>result_value</w:t>
      </w:r>
      <w:proofErr w:type="spellEnd"/>
      <w:r>
        <w:rPr>
          <w:color w:val="222222"/>
        </w:rPr>
        <w:t xml:space="preserve"> with </w:t>
      </w:r>
      <w:proofErr w:type="spellStart"/>
      <w:r>
        <w:rPr>
          <w:color w:val="222222"/>
        </w:rPr>
        <w:t>range_low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range_high</w:t>
      </w:r>
      <w:proofErr w:type="spellEnd"/>
      <w:r>
        <w:rPr>
          <w:color w:val="222222"/>
        </w:rPr>
        <w:t>. Identifies anomalies:</w:t>
      </w:r>
    </w:p>
    <w:p w14:paraId="000869CB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</w:rPr>
        <w:t xml:space="preserve">Values &gt; </w:t>
      </w:r>
      <w:proofErr w:type="spellStart"/>
      <w:r>
        <w:rPr>
          <w:color w:val="222222"/>
        </w:rPr>
        <w:t>range_high</w:t>
      </w:r>
      <w:proofErr w:type="spellEnd"/>
      <w:r>
        <w:rPr>
          <w:color w:val="222222"/>
        </w:rPr>
        <w:t xml:space="preserve"> + 3x range width → Outlier.</w:t>
      </w:r>
    </w:p>
    <w:p w14:paraId="5DCF439F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</w:rPr>
        <w:t xml:space="preserve">Values &gt; </w:t>
      </w:r>
      <w:proofErr w:type="spellStart"/>
      <w:r>
        <w:rPr>
          <w:color w:val="222222"/>
        </w:rPr>
        <w:t>range_high</w:t>
      </w:r>
      <w:proofErr w:type="spellEnd"/>
      <w:r>
        <w:rPr>
          <w:color w:val="222222"/>
        </w:rPr>
        <w:t xml:space="preserve"> → Above Range.</w:t>
      </w:r>
    </w:p>
    <w:p w14:paraId="73621169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</w:rPr>
        <w:t xml:space="preserve">Values &lt; </w:t>
      </w:r>
      <w:proofErr w:type="spellStart"/>
      <w:r>
        <w:rPr>
          <w:color w:val="222222"/>
        </w:rPr>
        <w:t>range_low</w:t>
      </w:r>
      <w:proofErr w:type="spellEnd"/>
      <w:r>
        <w:rPr>
          <w:color w:val="222222"/>
        </w:rPr>
        <w:t xml:space="preserve"> → Below Range.</w:t>
      </w:r>
    </w:p>
    <w:p w14:paraId="1442F124" w14:textId="77777777" w:rsidR="008F4ED1" w:rsidRDefault="008F4ED1">
      <w:pPr>
        <w:spacing w:after="160"/>
      </w:pPr>
    </w:p>
    <w:p w14:paraId="6729BFA0" w14:textId="77777777" w:rsidR="008F4ED1" w:rsidRDefault="00000000">
      <w:pPr>
        <w:pStyle w:val="Heading2"/>
        <w:spacing w:before="260" w:after="100"/>
      </w:pPr>
      <w:proofErr w:type="gramStart"/>
      <w:r>
        <w:rPr>
          <w:b/>
          <w:bCs/>
          <w:color w:val="2E5F8A"/>
          <w:sz w:val="22"/>
          <w:szCs w:val="22"/>
        </w:rPr>
        <w:t>2.5  src/loader/loader.py</w:t>
      </w:r>
      <w:proofErr w:type="gramEnd"/>
    </w:p>
    <w:p w14:paraId="47A95D41" w14:textId="77777777" w:rsidR="008F4ED1" w:rsidRDefault="00000000">
      <w:pPr>
        <w:spacing w:after="140" w:line="276" w:lineRule="auto"/>
      </w:pPr>
      <w:r>
        <w:rPr>
          <w:color w:val="222222"/>
        </w:rPr>
        <w:t>Manages database loading. Generates unique hashes for deduplication and runs bulk inserts inside database transactions.</w:t>
      </w:r>
    </w:p>
    <w:p w14:paraId="476B5151" w14:textId="77777777" w:rsidR="008F4ED1" w:rsidRDefault="00000000">
      <w:pPr>
        <w:pStyle w:val="Heading1"/>
        <w:pBdr>
          <w:bottom w:val="single" w:sz="6" w:space="4" w:color="2E5F8A"/>
        </w:pBdr>
        <w:spacing w:before="400" w:after="160"/>
      </w:pPr>
      <w:r>
        <w:rPr>
          <w:b/>
          <w:bCs/>
          <w:color w:val="1F3864"/>
          <w:sz w:val="28"/>
          <w:szCs w:val="28"/>
        </w:rPr>
        <w:t>3. Database Design (ER Diagram)</w:t>
      </w:r>
    </w:p>
    <w:p w14:paraId="7B1B6DEF" w14:textId="2BFC389B" w:rsidR="008F4ED1" w:rsidRDefault="00910C31">
      <w:pPr>
        <w:spacing w:after="140" w:line="276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FB0CEA" wp14:editId="7388BDB1">
            <wp:simplePos x="0" y="0"/>
            <wp:positionH relativeFrom="column">
              <wp:posOffset>-127000</wp:posOffset>
            </wp:positionH>
            <wp:positionV relativeFrom="paragraph">
              <wp:posOffset>417407</wp:posOffset>
            </wp:positionV>
            <wp:extent cx="6867592" cy="4522470"/>
            <wp:effectExtent l="0" t="0" r="9525" b="0"/>
            <wp:wrapTopAndBottom/>
            <wp:docPr id="784505243" name="Picture 78450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92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222222"/>
        </w:rPr>
        <w:t xml:space="preserve">The relational schema maps to the </w:t>
      </w:r>
      <w:proofErr w:type="spellStart"/>
      <w:r w:rsidR="00000000">
        <w:rPr>
          <w:color w:val="222222"/>
        </w:rPr>
        <w:t>SQLAlchemy</w:t>
      </w:r>
      <w:proofErr w:type="spellEnd"/>
      <w:r w:rsidR="00000000">
        <w:rPr>
          <w:color w:val="222222"/>
        </w:rPr>
        <w:t xml:space="preserve"> ORM models.</w:t>
      </w:r>
    </w:p>
    <w:p w14:paraId="66555E09" w14:textId="7932C6A9" w:rsidR="008F4ED1" w:rsidRDefault="008F4ED1">
      <w:pPr>
        <w:spacing w:before="100" w:after="60"/>
        <w:jc w:val="center"/>
      </w:pPr>
    </w:p>
    <w:p w14:paraId="740574FB" w14:textId="77777777" w:rsidR="008F4ED1" w:rsidRDefault="00000000">
      <w:pPr>
        <w:spacing w:before="100" w:after="260"/>
        <w:jc w:val="center"/>
      </w:pPr>
      <w:r>
        <w:rPr>
          <w:i/>
          <w:iCs/>
          <w:color w:val="666666"/>
          <w:sz w:val="18"/>
          <w:szCs w:val="18"/>
        </w:rPr>
        <w:t>Figure 3.1 — Entity-relationship diagram</w:t>
      </w:r>
    </w:p>
    <w:p w14:paraId="1065A8BD" w14:textId="77777777" w:rsidR="008F4ED1" w:rsidRDefault="00000000">
      <w:pPr>
        <w:pStyle w:val="Heading1"/>
        <w:pBdr>
          <w:bottom w:val="single" w:sz="6" w:space="4" w:color="2E5F8A"/>
        </w:pBdr>
        <w:spacing w:before="400" w:after="160"/>
      </w:pPr>
      <w:r>
        <w:rPr>
          <w:b/>
          <w:bCs/>
          <w:color w:val="1F3864"/>
          <w:sz w:val="28"/>
          <w:szCs w:val="28"/>
        </w:rPr>
        <w:t>4. Processing Pipeline Flow</w:t>
      </w:r>
    </w:p>
    <w:p w14:paraId="27070F56" w14:textId="77777777" w:rsidR="008F4ED1" w:rsidRDefault="00000000">
      <w:pPr>
        <w:spacing w:after="140" w:line="276" w:lineRule="auto"/>
      </w:pPr>
      <w:r>
        <w:rPr>
          <w:color w:val="222222"/>
        </w:rPr>
        <w:t>The sequence diagram demonstrates the flow of a single batch execution:</w:t>
      </w:r>
    </w:p>
    <w:p w14:paraId="54E42451" w14:textId="77777777" w:rsidR="008F4ED1" w:rsidRDefault="00000000" w:rsidP="00910C31">
      <w:pPr>
        <w:spacing w:before="100" w:after="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6CC7AC3" wp14:editId="63C40F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89800" cy="3637280"/>
            <wp:effectExtent l="0" t="0" r="6350" b="1270"/>
            <wp:wrapTopAndBottom/>
            <wp:docPr id="1069553221" name="Picture 1069553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8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1B9B" w14:textId="77777777" w:rsidR="008F4ED1" w:rsidRDefault="00000000">
      <w:pPr>
        <w:spacing w:before="100" w:after="260"/>
        <w:jc w:val="center"/>
      </w:pPr>
      <w:r>
        <w:rPr>
          <w:i/>
          <w:iCs/>
          <w:color w:val="666666"/>
          <w:sz w:val="18"/>
          <w:szCs w:val="18"/>
        </w:rPr>
        <w:t>Figure 4.1 — Batch execution sequence diagram</w:t>
      </w:r>
    </w:p>
    <w:p w14:paraId="1BF9DD88" w14:textId="77777777" w:rsidR="008F4ED1" w:rsidRDefault="00000000">
      <w:pPr>
        <w:pStyle w:val="Heading1"/>
        <w:pBdr>
          <w:bottom w:val="single" w:sz="6" w:space="4" w:color="2E5F8A"/>
        </w:pBdr>
        <w:spacing w:before="400" w:after="160"/>
      </w:pPr>
      <w:r>
        <w:rPr>
          <w:b/>
          <w:bCs/>
          <w:color w:val="1F3864"/>
          <w:sz w:val="28"/>
          <w:szCs w:val="28"/>
        </w:rPr>
        <w:t>5. Configuration Strategy</w:t>
      </w:r>
    </w:p>
    <w:p w14:paraId="5BB4642D" w14:textId="77777777" w:rsidR="008F4ED1" w:rsidRDefault="00000000">
      <w:pPr>
        <w:spacing w:after="140" w:line="276" w:lineRule="auto"/>
      </w:pPr>
      <w:r>
        <w:rPr>
          <w:color w:val="222222"/>
        </w:rPr>
        <w:t>Configurations are loaded dynamically and cached in memory using LRU caching: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7058"/>
      </w:tblGrid>
      <w:tr w:rsidR="008F4ED1" w14:paraId="185BF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3EDE9" w14:textId="77777777" w:rsidR="008F4ED1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56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ADC23" w14:textId="77777777" w:rsidR="008F4ED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F4ED1" w14:paraId="6DF0E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8D34" w14:textId="77777777" w:rsidR="008F4E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test_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mapping.json</w:t>
            </w:r>
            <w:proofErr w:type="spellEnd"/>
            <w:proofErr w:type="gram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CB60" w14:textId="77777777" w:rsidR="008F4ED1" w:rsidRDefault="00000000">
            <w:r>
              <w:rPr>
                <w:color w:val="222222"/>
                <w:sz w:val="18"/>
                <w:szCs w:val="18"/>
              </w:rPr>
              <w:t>Defines canonical names and spelling aliases.</w:t>
            </w:r>
          </w:p>
        </w:tc>
      </w:tr>
      <w:tr w:rsidR="008F4ED1" w14:paraId="154373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5C7C" w14:textId="77777777" w:rsidR="008F4E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unit_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mapping.json</w:t>
            </w:r>
            <w:proofErr w:type="spellEnd"/>
            <w:proofErr w:type="gramEnd"/>
          </w:p>
        </w:tc>
        <w:tc>
          <w:tcPr>
            <w:tcW w:w="65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E693" w14:textId="77777777" w:rsidR="008F4ED1" w:rsidRDefault="00000000">
            <w:r>
              <w:rPr>
                <w:color w:val="222222"/>
                <w:sz w:val="18"/>
                <w:szCs w:val="18"/>
              </w:rPr>
              <w:t>Defines normalization rules for lab units.</w:t>
            </w:r>
          </w:p>
        </w:tc>
      </w:tr>
      <w:tr w:rsidR="008F4ED1" w14:paraId="57489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870C" w14:textId="77777777" w:rsidR="008F4E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medicine_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mapping.json</w:t>
            </w:r>
            <w:proofErr w:type="spellEnd"/>
            <w:proofErr w:type="gram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B9AB" w14:textId="77777777" w:rsidR="008F4ED1" w:rsidRDefault="00000000">
            <w:r>
              <w:rPr>
                <w:color w:val="222222"/>
                <w:sz w:val="18"/>
                <w:szCs w:val="18"/>
              </w:rPr>
              <w:t>Handles drug nomenclature mappings.</w:t>
            </w:r>
          </w:p>
        </w:tc>
      </w:tr>
      <w:tr w:rsidR="008F4ED1" w14:paraId="071C8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1291" w14:textId="77777777" w:rsidR="008F4E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reference_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ranges.json</w:t>
            </w:r>
            <w:proofErr w:type="spellEnd"/>
            <w:proofErr w:type="gramEnd"/>
          </w:p>
        </w:tc>
        <w:tc>
          <w:tcPr>
            <w:tcW w:w="65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F082" w14:textId="77777777" w:rsidR="008F4ED1" w:rsidRDefault="00000000">
            <w:r>
              <w:rPr>
                <w:color w:val="222222"/>
                <w:sz w:val="18"/>
                <w:szCs w:val="18"/>
              </w:rPr>
              <w:t>Baseline lab reference metrics.</w:t>
            </w:r>
          </w:p>
        </w:tc>
      </w:tr>
    </w:tbl>
    <w:p w14:paraId="6DA7FDA5" w14:textId="77777777" w:rsidR="008F4ED1" w:rsidRDefault="008F4ED1">
      <w:pPr>
        <w:spacing w:after="200"/>
      </w:pPr>
    </w:p>
    <w:p w14:paraId="60BA97AE" w14:textId="77777777" w:rsidR="008F4ED1" w:rsidRDefault="00000000">
      <w:pPr>
        <w:pStyle w:val="Heading1"/>
        <w:pBdr>
          <w:bottom w:val="single" w:sz="6" w:space="4" w:color="2E5F8A"/>
        </w:pBdr>
        <w:spacing w:before="400" w:after="160"/>
      </w:pPr>
      <w:r>
        <w:rPr>
          <w:b/>
          <w:bCs/>
          <w:color w:val="1F3864"/>
          <w:sz w:val="28"/>
          <w:szCs w:val="28"/>
        </w:rPr>
        <w:t>6. Deployment Design</w:t>
      </w:r>
    </w:p>
    <w:p w14:paraId="7159C80C" w14:textId="4264ECE3" w:rsidR="008F4ED1" w:rsidRDefault="00910C31">
      <w:pPr>
        <w:spacing w:after="140" w:line="276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680E76" wp14:editId="06E3947C">
            <wp:simplePos x="0" y="0"/>
            <wp:positionH relativeFrom="page">
              <wp:posOffset>406400</wp:posOffset>
            </wp:positionH>
            <wp:positionV relativeFrom="paragraph">
              <wp:posOffset>177165</wp:posOffset>
            </wp:positionV>
            <wp:extent cx="7165975" cy="1276350"/>
            <wp:effectExtent l="0" t="0" r="0" b="0"/>
            <wp:wrapTopAndBottom/>
            <wp:docPr id="1968062336" name="Picture 196806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22222"/>
        </w:rPr>
        <w:t>The application runs locally as a decoupled system but is designed for cloud-ready containerization:</w:t>
      </w:r>
    </w:p>
    <w:p w14:paraId="1C5C6C66" w14:textId="5AF349D9" w:rsidR="008F4ED1" w:rsidRDefault="008F4ED1" w:rsidP="00910C31">
      <w:pPr>
        <w:spacing w:before="100" w:after="60"/>
      </w:pPr>
    </w:p>
    <w:p w14:paraId="20B7383C" w14:textId="77777777" w:rsidR="008F4ED1" w:rsidRDefault="00000000">
      <w:pPr>
        <w:spacing w:before="100" w:after="260"/>
        <w:jc w:val="center"/>
      </w:pPr>
      <w:r>
        <w:rPr>
          <w:i/>
          <w:iCs/>
          <w:color w:val="666666"/>
          <w:sz w:val="18"/>
          <w:szCs w:val="18"/>
        </w:rPr>
        <w:t>Figure 6.1 — Deployment topology</w:t>
      </w:r>
    </w:p>
    <w:p w14:paraId="2FF50B99" w14:textId="77777777" w:rsidR="008F4ED1" w:rsidRDefault="00000000">
      <w:pPr>
        <w:pStyle w:val="Heading2"/>
        <w:spacing w:before="260" w:after="100"/>
      </w:pPr>
      <w:proofErr w:type="gramStart"/>
      <w:r>
        <w:rPr>
          <w:b/>
          <w:bCs/>
          <w:color w:val="2E5F8A"/>
          <w:sz w:val="22"/>
          <w:szCs w:val="22"/>
        </w:rPr>
        <w:lastRenderedPageBreak/>
        <w:t>6.1  Production</w:t>
      </w:r>
      <w:proofErr w:type="gramEnd"/>
      <w:r>
        <w:rPr>
          <w:b/>
          <w:bCs/>
          <w:color w:val="2E5F8A"/>
          <w:sz w:val="22"/>
          <w:szCs w:val="22"/>
        </w:rPr>
        <w:t xml:space="preserve"> Scaling</w:t>
      </w:r>
    </w:p>
    <w:p w14:paraId="66CAB017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</w:rPr>
        <w:t>Replace SQLite with PostgreSQL.</w:t>
      </w:r>
    </w:p>
    <w:p w14:paraId="08D25573" w14:textId="77777777" w:rsidR="008F4ED1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</w:rPr>
        <w:t>Add Celery / Redis worker queues for batch file processing to support large-scale ingestion (200k+ records/day).</w:t>
      </w:r>
    </w:p>
    <w:sectPr w:rsidR="008F4ED1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37E3"/>
    <w:multiLevelType w:val="hybridMultilevel"/>
    <w:tmpl w:val="92D0A7D2"/>
    <w:lvl w:ilvl="0" w:tplc="A8EC07FC">
      <w:start w:val="1"/>
      <w:numFmt w:val="decimal"/>
      <w:lvlText w:val="%1."/>
      <w:lvlJc w:val="left"/>
      <w:pPr>
        <w:ind w:left="431" w:hanging="360"/>
      </w:pPr>
    </w:lvl>
    <w:lvl w:ilvl="1" w:tplc="CB6C9C96">
      <w:numFmt w:val="decimal"/>
      <w:lvlText w:val=""/>
      <w:lvlJc w:val="left"/>
    </w:lvl>
    <w:lvl w:ilvl="2" w:tplc="BBCE6014">
      <w:numFmt w:val="decimal"/>
      <w:lvlText w:val=""/>
      <w:lvlJc w:val="left"/>
    </w:lvl>
    <w:lvl w:ilvl="3" w:tplc="4BD8202E">
      <w:numFmt w:val="decimal"/>
      <w:lvlText w:val=""/>
      <w:lvlJc w:val="left"/>
    </w:lvl>
    <w:lvl w:ilvl="4" w:tplc="C64007B8">
      <w:numFmt w:val="decimal"/>
      <w:lvlText w:val=""/>
      <w:lvlJc w:val="left"/>
    </w:lvl>
    <w:lvl w:ilvl="5" w:tplc="739C9ADC">
      <w:numFmt w:val="decimal"/>
      <w:lvlText w:val=""/>
      <w:lvlJc w:val="left"/>
    </w:lvl>
    <w:lvl w:ilvl="6" w:tplc="656C4F6E">
      <w:numFmt w:val="decimal"/>
      <w:lvlText w:val=""/>
      <w:lvlJc w:val="left"/>
    </w:lvl>
    <w:lvl w:ilvl="7" w:tplc="C0200DB8">
      <w:numFmt w:val="decimal"/>
      <w:lvlText w:val=""/>
      <w:lvlJc w:val="left"/>
    </w:lvl>
    <w:lvl w:ilvl="8" w:tplc="9B06BB3C">
      <w:numFmt w:val="decimal"/>
      <w:lvlText w:val=""/>
      <w:lvlJc w:val="left"/>
    </w:lvl>
  </w:abstractNum>
  <w:abstractNum w:abstractNumId="1" w15:restartNumberingAfterBreak="0">
    <w:nsid w:val="4A2E0687"/>
    <w:multiLevelType w:val="hybridMultilevel"/>
    <w:tmpl w:val="53764D4C"/>
    <w:lvl w:ilvl="0" w:tplc="D05605B0">
      <w:start w:val="1"/>
      <w:numFmt w:val="bullet"/>
      <w:lvlText w:val="•"/>
      <w:lvlJc w:val="left"/>
      <w:pPr>
        <w:ind w:left="431" w:hanging="288"/>
      </w:pPr>
    </w:lvl>
    <w:lvl w:ilvl="1" w:tplc="7AF0EABA">
      <w:numFmt w:val="decimal"/>
      <w:lvlText w:val=""/>
      <w:lvlJc w:val="left"/>
    </w:lvl>
    <w:lvl w:ilvl="2" w:tplc="74903940">
      <w:numFmt w:val="decimal"/>
      <w:lvlText w:val=""/>
      <w:lvlJc w:val="left"/>
    </w:lvl>
    <w:lvl w:ilvl="3" w:tplc="9CD876DC">
      <w:numFmt w:val="decimal"/>
      <w:lvlText w:val=""/>
      <w:lvlJc w:val="left"/>
    </w:lvl>
    <w:lvl w:ilvl="4" w:tplc="658281A8">
      <w:numFmt w:val="decimal"/>
      <w:lvlText w:val=""/>
      <w:lvlJc w:val="left"/>
    </w:lvl>
    <w:lvl w:ilvl="5" w:tplc="78582CA4">
      <w:numFmt w:val="decimal"/>
      <w:lvlText w:val=""/>
      <w:lvlJc w:val="left"/>
    </w:lvl>
    <w:lvl w:ilvl="6" w:tplc="1E34F75A">
      <w:numFmt w:val="decimal"/>
      <w:lvlText w:val=""/>
      <w:lvlJc w:val="left"/>
    </w:lvl>
    <w:lvl w:ilvl="7" w:tplc="FD02C496">
      <w:numFmt w:val="decimal"/>
      <w:lvlText w:val=""/>
      <w:lvlJc w:val="left"/>
    </w:lvl>
    <w:lvl w:ilvl="8" w:tplc="32F8A288">
      <w:numFmt w:val="decimal"/>
      <w:lvlText w:val=""/>
      <w:lvlJc w:val="left"/>
    </w:lvl>
  </w:abstractNum>
  <w:abstractNum w:abstractNumId="2" w15:restartNumberingAfterBreak="0">
    <w:nsid w:val="7590711F"/>
    <w:multiLevelType w:val="hybridMultilevel"/>
    <w:tmpl w:val="305CBEAA"/>
    <w:lvl w:ilvl="0" w:tplc="28CA558E">
      <w:start w:val="1"/>
      <w:numFmt w:val="bullet"/>
      <w:lvlText w:val="●"/>
      <w:lvlJc w:val="left"/>
      <w:pPr>
        <w:ind w:left="720" w:hanging="360"/>
      </w:pPr>
    </w:lvl>
    <w:lvl w:ilvl="1" w:tplc="B6DEF2C2">
      <w:start w:val="1"/>
      <w:numFmt w:val="bullet"/>
      <w:lvlText w:val="○"/>
      <w:lvlJc w:val="left"/>
      <w:pPr>
        <w:ind w:left="1440" w:hanging="360"/>
      </w:pPr>
    </w:lvl>
    <w:lvl w:ilvl="2" w:tplc="A7DE582C">
      <w:start w:val="1"/>
      <w:numFmt w:val="bullet"/>
      <w:lvlText w:val="■"/>
      <w:lvlJc w:val="left"/>
      <w:pPr>
        <w:ind w:left="2160" w:hanging="360"/>
      </w:pPr>
    </w:lvl>
    <w:lvl w:ilvl="3" w:tplc="1B54CB4A">
      <w:start w:val="1"/>
      <w:numFmt w:val="bullet"/>
      <w:lvlText w:val="●"/>
      <w:lvlJc w:val="left"/>
      <w:pPr>
        <w:ind w:left="2880" w:hanging="360"/>
      </w:pPr>
    </w:lvl>
    <w:lvl w:ilvl="4" w:tplc="720EE2DC">
      <w:start w:val="1"/>
      <w:numFmt w:val="bullet"/>
      <w:lvlText w:val="○"/>
      <w:lvlJc w:val="left"/>
      <w:pPr>
        <w:ind w:left="3600" w:hanging="360"/>
      </w:pPr>
    </w:lvl>
    <w:lvl w:ilvl="5" w:tplc="B5122C1C">
      <w:start w:val="1"/>
      <w:numFmt w:val="bullet"/>
      <w:lvlText w:val="■"/>
      <w:lvlJc w:val="left"/>
      <w:pPr>
        <w:ind w:left="4320" w:hanging="360"/>
      </w:pPr>
    </w:lvl>
    <w:lvl w:ilvl="6" w:tplc="A64EA7F0">
      <w:start w:val="1"/>
      <w:numFmt w:val="bullet"/>
      <w:lvlText w:val="●"/>
      <w:lvlJc w:val="left"/>
      <w:pPr>
        <w:ind w:left="5040" w:hanging="360"/>
      </w:pPr>
    </w:lvl>
    <w:lvl w:ilvl="7" w:tplc="2716F7EC">
      <w:start w:val="1"/>
      <w:numFmt w:val="bullet"/>
      <w:lvlText w:val="●"/>
      <w:lvlJc w:val="left"/>
      <w:pPr>
        <w:ind w:left="5760" w:hanging="360"/>
      </w:pPr>
    </w:lvl>
    <w:lvl w:ilvl="8" w:tplc="BB706782">
      <w:start w:val="1"/>
      <w:numFmt w:val="bullet"/>
      <w:lvlText w:val="●"/>
      <w:lvlJc w:val="left"/>
      <w:pPr>
        <w:ind w:left="6480" w:hanging="360"/>
      </w:pPr>
    </w:lvl>
  </w:abstractNum>
  <w:num w:numId="1" w16cid:durableId="679091119">
    <w:abstractNumId w:val="2"/>
    <w:lvlOverride w:ilvl="0">
      <w:startOverride w:val="1"/>
    </w:lvlOverride>
  </w:num>
  <w:num w:numId="2" w16cid:durableId="887187626">
    <w:abstractNumId w:val="1"/>
    <w:lvlOverride w:ilvl="0">
      <w:startOverride w:val="1"/>
    </w:lvlOverride>
  </w:num>
  <w:num w:numId="3" w16cid:durableId="1680423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ED1"/>
    <w:rsid w:val="0063414E"/>
    <w:rsid w:val="008F4ED1"/>
    <w:rsid w:val="0091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1EA3"/>
  <w15:docId w15:val="{D22B4BFB-54C5-4F92-AC5A-FD2B5FDA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kini</cp:lastModifiedBy>
  <cp:revision>2</cp:revision>
  <dcterms:created xsi:type="dcterms:W3CDTF">2026-07-18T09:10:00Z</dcterms:created>
  <dcterms:modified xsi:type="dcterms:W3CDTF">2026-07-18T09:14:00Z</dcterms:modified>
</cp:coreProperties>
</file>