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0"/>
          <w:szCs w:val="40"/>
        </w:rPr>
        <w:t xml:space="preserve">Software Requirements Specification</w:t>
      </w:r>
    </w:p>
    <w:p>
      <w:pPr>
        <w:pBdr>
          <w:bottom w:val="single" w:color="2E5F8A" w:sz="12" w:space="8"/>
        </w:pBdr>
        <w:spacing w:after="300"/>
      </w:pPr>
      <w:r>
        <w:rPr>
          <w:rFonts w:ascii="Calibri" w:cs="Calibri" w:eastAsia="Calibri" w:hAnsi="Calibri"/>
          <w:i/>
          <w:iCs/>
          <w:color w:val="2E5F8A"/>
          <w:sz w:val="24"/>
          <w:szCs w:val="24"/>
        </w:rPr>
        <w:t xml:space="preserve">Veritas Claims Analytics Pipeline</w:t>
      </w:r>
    </w:p>
    <w:p>
      <w:pPr>
        <w:pStyle w:val="Heading1"/>
        <w:pBdr>
          <w:bottom w:val="single" w:color="2E5F8A" w:sz="6" w:space="4"/>
        </w:pBdr>
        <w:spacing w:after="160" w:before="380"/>
      </w:pPr>
      <w:r>
        <w:rPr>
          <w:rFonts w:ascii="Calibri" w:cs="Calibri" w:eastAsia="Calibri" w:hAnsi="Calibri"/>
          <w:b/>
          <w:bCs/>
          <w:color w:val="1F3864"/>
          <w:sz w:val="28"/>
          <w:szCs w:val="28"/>
        </w:rPr>
        <w:t xml:space="preserve">1. Project Overview</w:t>
      </w:r>
    </w:p>
    <w:p>
      <w:pPr>
        <w:spacing w:after="140" w:line="276"/>
      </w:pPr>
      <w:r>
        <w:rPr>
          <w:rFonts w:ascii="Calibri" w:cs="Calibri" w:eastAsia="Calibri" w:hAnsi="Calibri"/>
          <w:color w:val="222222"/>
          <w:sz w:val="21"/>
          <w:szCs w:val="21"/>
        </w:rPr>
        <w:t xml:space="preserve">Veritas Claims Analytics is an enterprise-grade medical claim data standardization and validation pipeline. The system processes heterogeneous medical JSON files from diverse source systems (e.g., Artemis, FastTrack), maps and normalizes raw laboratory results and medications, verifies them against clinical standards, and stores them in a centralized database schema. An operational dashboard visualizes the processing runs, flagged medical anomalies, system analytics, and standardized records.</w:t>
      </w:r>
    </w:p>
    <w:p>
      <w:pPr>
        <w:pStyle w:val="Heading1"/>
        <w:pBdr>
          <w:bottom w:val="single" w:color="2E5F8A" w:sz="6" w:space="4"/>
        </w:pBdr>
        <w:spacing w:after="160" w:before="380"/>
      </w:pPr>
      <w:r>
        <w:rPr>
          <w:rFonts w:ascii="Calibri" w:cs="Calibri" w:eastAsia="Calibri" w:hAnsi="Calibri"/>
          <w:b/>
          <w:bCs/>
          <w:color w:val="1F3864"/>
          <w:sz w:val="28"/>
          <w:szCs w:val="28"/>
        </w:rPr>
        <w:t xml:space="preserve">2. Business Problem</w:t>
      </w:r>
    </w:p>
    <w:p>
      <w:pPr>
        <w:spacing w:after="140" w:line="276"/>
      </w:pPr>
      <w:r>
        <w:rPr>
          <w:rFonts w:ascii="Calibri" w:cs="Calibri" w:eastAsia="Calibri" w:hAnsi="Calibri"/>
          <w:color w:val="222222"/>
          <w:sz w:val="21"/>
          <w:szCs w:val="21"/>
        </w:rPr>
        <w:t xml:space="preserve">Medical claims processing is plagued by inconsistencies:</w:t>
      </w:r>
    </w:p>
    <w:p>
      <w:pPr>
        <w:pStyle w:val="ListParagraph"/>
        <w:numPr>
          <w:ilvl w:val="0"/>
          <w:numId w:val="2"/>
        </w:numPr>
        <w:spacing w:after="80"/>
      </w:pPr>
      <w:r>
        <w:rPr>
          <w:rFonts w:ascii="Calibri" w:cs="Calibri" w:eastAsia="Calibri" w:hAnsi="Calibri"/>
          <w:b/>
          <w:bCs/>
          <w:color w:val="222222"/>
          <w:sz w:val="20"/>
          <w:szCs w:val="20"/>
        </w:rPr>
        <w:t xml:space="preserve">Schema Heterogeneity: </w:t>
      </w:r>
      <w:r>
        <w:rPr>
          <w:rFonts w:ascii="Calibri" w:cs="Calibri" w:eastAsia="Calibri" w:hAnsi="Calibri"/>
          <w:color w:val="222222"/>
          <w:sz w:val="20"/>
          <w:szCs w:val="20"/>
        </w:rPr>
        <w:t xml:space="preserve">Different clinics, labs, and legacy systems output patient data in wildly different formats (flat JSON, nested structures, varying key naming conventions).</w:t>
      </w:r>
    </w:p>
    <w:p>
      <w:pPr>
        <w:pStyle w:val="ListParagraph"/>
        <w:numPr>
          <w:ilvl w:val="0"/>
          <w:numId w:val="2"/>
        </w:numPr>
        <w:spacing w:after="80"/>
      </w:pPr>
      <w:r>
        <w:rPr>
          <w:rFonts w:ascii="Calibri" w:cs="Calibri" w:eastAsia="Calibri" w:hAnsi="Calibri"/>
          <w:b/>
          <w:bCs/>
          <w:color w:val="222222"/>
          <w:sz w:val="20"/>
          <w:szCs w:val="20"/>
        </w:rPr>
        <w:t xml:space="preserve">Fuzzy &amp; Inconsistent Nomenclature: </w:t>
      </w:r>
      <w:r>
        <w:rPr>
          <w:rFonts w:ascii="Calibri" w:cs="Calibri" w:eastAsia="Calibri" w:hAnsi="Calibri"/>
          <w:color w:val="222222"/>
          <w:sz w:val="20"/>
          <w:szCs w:val="20"/>
        </w:rPr>
        <w:t xml:space="preserve">Test names are subject to spelling variations, typos, and OCR artifacts (e.g., </w:t>
      </w:r>
      <w:r>
        <w:rPr>
          <w:rFonts w:ascii="Consolas" w:cs="Consolas" w:eastAsia="Consolas" w:hAnsi="Consolas"/>
          <w:color w:val="A6353A"/>
          <w:sz w:val="18"/>
          <w:szCs w:val="18"/>
          <w:shd w:fill="F5EDEE" w:val="clear"/>
        </w:rPr>
        <w:t xml:space="preserve">"aemoglobin"</w:t>
      </w:r>
      <w:r>
        <w:rPr>
          <w:rFonts w:ascii="Calibri" w:cs="Calibri" w:eastAsia="Calibri" w:hAnsi="Calibri"/>
          <w:color w:val="222222"/>
          <w:sz w:val="20"/>
          <w:szCs w:val="20"/>
        </w:rPr>
        <w:t xml:space="preserve"> for Hemoglobin, </w:t>
      </w:r>
      <w:r>
        <w:rPr>
          <w:rFonts w:ascii="Consolas" w:cs="Consolas" w:eastAsia="Consolas" w:hAnsi="Consolas"/>
          <w:color w:val="A6353A"/>
          <w:sz w:val="18"/>
          <w:szCs w:val="18"/>
          <w:shd w:fill="F5EDEE" w:val="clear"/>
        </w:rPr>
        <w:t xml:space="preserve">"tal WBC Count"</w:t>
      </w:r>
      <w:r>
        <w:rPr>
          <w:rFonts w:ascii="Calibri" w:cs="Calibri" w:eastAsia="Calibri" w:hAnsi="Calibri"/>
          <w:color w:val="222222"/>
          <w:sz w:val="20"/>
          <w:szCs w:val="20"/>
        </w:rPr>
        <w:t xml:space="preserve"> for White Blood Cell Count).</w:t>
      </w:r>
    </w:p>
    <w:p>
      <w:pPr>
        <w:pStyle w:val="ListParagraph"/>
        <w:numPr>
          <w:ilvl w:val="0"/>
          <w:numId w:val="2"/>
        </w:numPr>
        <w:spacing w:after="80"/>
      </w:pPr>
      <w:r>
        <w:rPr>
          <w:rFonts w:ascii="Calibri" w:cs="Calibri" w:eastAsia="Calibri" w:hAnsi="Calibri"/>
          <w:b/>
          <w:bCs/>
          <w:color w:val="222222"/>
          <w:sz w:val="20"/>
          <w:szCs w:val="20"/>
        </w:rPr>
        <w:t xml:space="preserve">Reference Range Discrepancies: </w:t>
      </w:r>
      <w:r>
        <w:rPr>
          <w:rFonts w:ascii="Calibri" w:cs="Calibri" w:eastAsia="Calibri" w:hAnsi="Calibri"/>
          <w:color w:val="222222"/>
          <w:sz w:val="20"/>
          <w:szCs w:val="20"/>
        </w:rPr>
        <w:t xml:space="preserve">Reference ranges for normal blood levels differ by gender, age, and reporting laboratory.</w:t>
      </w:r>
    </w:p>
    <w:p>
      <w:pPr>
        <w:pStyle w:val="ListParagraph"/>
        <w:numPr>
          <w:ilvl w:val="0"/>
          <w:numId w:val="2"/>
        </w:numPr>
        <w:spacing w:after="80"/>
      </w:pPr>
      <w:r>
        <w:rPr>
          <w:rFonts w:ascii="Calibri" w:cs="Calibri" w:eastAsia="Calibri" w:hAnsi="Calibri"/>
          <w:b/>
          <w:bCs/>
          <w:color w:val="222222"/>
          <w:sz w:val="20"/>
          <w:szCs w:val="20"/>
        </w:rPr>
        <w:t xml:space="preserve">Duplicates: </w:t>
      </w:r>
      <w:r>
        <w:rPr>
          <w:rFonts w:ascii="Calibri" w:cs="Calibri" w:eastAsia="Calibri" w:hAnsi="Calibri"/>
          <w:color w:val="222222"/>
          <w:sz w:val="20"/>
          <w:szCs w:val="20"/>
        </w:rPr>
        <w:t xml:space="preserve">Re-ingesting files creates database inflation and distorts analysis.</w:t>
      </w:r>
    </w:p>
    <w:p>
      <w:pPr>
        <w:spacing w:after="140" w:line="276"/>
      </w:pPr>
      <w:r>
        <w:rPr>
          <w:rFonts w:ascii="Calibri" w:cs="Calibri" w:eastAsia="Calibri" w:hAnsi="Calibri"/>
          <w:color w:val="222222"/>
          <w:sz w:val="21"/>
          <w:szCs w:val="21"/>
        </w:rPr>
        <w:t xml:space="preserve">This pipeline solves these problems by providing an automated, configuration-driven standardization layer.</w:t>
      </w:r>
    </w:p>
    <w:p>
      <w:pPr>
        <w:pStyle w:val="Heading1"/>
        <w:pBdr>
          <w:bottom w:val="single" w:color="2E5F8A" w:sz="6" w:space="4"/>
        </w:pBdr>
        <w:spacing w:after="160" w:before="380"/>
      </w:pPr>
      <w:r>
        <w:rPr>
          <w:rFonts w:ascii="Calibri" w:cs="Calibri" w:eastAsia="Calibri" w:hAnsi="Calibri"/>
          <w:b/>
          <w:bCs/>
          <w:color w:val="1F3864"/>
          <w:sz w:val="28"/>
          <w:szCs w:val="28"/>
        </w:rPr>
        <w:t xml:space="preserve">3. Objectives</w:t>
      </w:r>
    </w:p>
    <w:p>
      <w:pPr>
        <w:pStyle w:val="ListParagraph"/>
        <w:numPr>
          <w:ilvl w:val="0"/>
          <w:numId w:val="2"/>
        </w:numPr>
        <w:spacing w:after="80"/>
      </w:pPr>
      <w:r>
        <w:rPr>
          <w:rFonts w:ascii="Calibri" w:cs="Calibri" w:eastAsia="Calibri" w:hAnsi="Calibri"/>
          <w:color w:val="222222"/>
          <w:sz w:val="20"/>
          <w:szCs w:val="20"/>
        </w:rPr>
        <w:t xml:space="preserve">Standardize 100% of heterogeneous input files into a unified output format without manual coding for schema differences.</w:t>
      </w:r>
    </w:p>
    <w:p>
      <w:pPr>
        <w:pStyle w:val="ListParagraph"/>
        <w:numPr>
          <w:ilvl w:val="0"/>
          <w:numId w:val="2"/>
        </w:numPr>
        <w:spacing w:after="80"/>
      </w:pPr>
      <w:r>
        <w:rPr>
          <w:rFonts w:ascii="Calibri" w:cs="Calibri" w:eastAsia="Calibri" w:hAnsi="Calibri"/>
          <w:color w:val="222222"/>
          <w:sz w:val="20"/>
          <w:szCs w:val="20"/>
        </w:rPr>
        <w:t xml:space="preserve">Correct common OCR spelling artifacts and match test names against 19 canonical clinical tests.</w:t>
      </w:r>
    </w:p>
    <w:p>
      <w:pPr>
        <w:pStyle w:val="ListParagraph"/>
        <w:numPr>
          <w:ilvl w:val="0"/>
          <w:numId w:val="2"/>
        </w:numPr>
        <w:spacing w:after="80"/>
      </w:pPr>
      <w:r>
        <w:rPr>
          <w:rFonts w:ascii="Calibri" w:cs="Calibri" w:eastAsia="Calibri" w:hAnsi="Calibri"/>
          <w:color w:val="222222"/>
          <w:sz w:val="20"/>
          <w:szCs w:val="20"/>
        </w:rPr>
        <w:t xml:space="preserve">Automatically detect and flag abnormal clinical readings (Above/Below Range, Outliers, Invalid).</w:t>
      </w:r>
    </w:p>
    <w:p>
      <w:pPr>
        <w:pStyle w:val="ListParagraph"/>
        <w:numPr>
          <w:ilvl w:val="0"/>
          <w:numId w:val="2"/>
        </w:numPr>
        <w:spacing w:after="80"/>
      </w:pPr>
      <w:r>
        <w:rPr>
          <w:rFonts w:ascii="Calibri" w:cs="Calibri" w:eastAsia="Calibri" w:hAnsi="Calibri"/>
          <w:color w:val="222222"/>
          <w:sz w:val="20"/>
          <w:szCs w:val="20"/>
        </w:rPr>
        <w:t xml:space="preserve">Prevent duplicate records from polluting the central database.</w:t>
      </w:r>
    </w:p>
    <w:p>
      <w:pPr>
        <w:pStyle w:val="ListParagraph"/>
        <w:numPr>
          <w:ilvl w:val="0"/>
          <w:numId w:val="2"/>
        </w:numPr>
        <w:spacing w:after="80"/>
      </w:pPr>
      <w:r>
        <w:rPr>
          <w:rFonts w:ascii="Calibri" w:cs="Calibri" w:eastAsia="Calibri" w:hAnsi="Calibri"/>
          <w:color w:val="222222"/>
          <w:sz w:val="20"/>
          <w:szCs w:val="20"/>
        </w:rPr>
        <w:t xml:space="preserve">Expose real-time analytics and record-level inspection via a premium operational dashboard.</w:t>
      </w:r>
    </w:p>
    <w:p>
      <w:pPr>
        <w:pStyle w:val="Heading1"/>
        <w:pBdr>
          <w:bottom w:val="single" w:color="2E5F8A" w:sz="6" w:space="4"/>
        </w:pBdr>
        <w:spacing w:after="160" w:before="380"/>
      </w:pPr>
      <w:r>
        <w:rPr>
          <w:rFonts w:ascii="Calibri" w:cs="Calibri" w:eastAsia="Calibri" w:hAnsi="Calibri"/>
          <w:b/>
          <w:bCs/>
          <w:color w:val="1F3864"/>
          <w:sz w:val="28"/>
          <w:szCs w:val="28"/>
        </w:rPr>
        <w:t xml:space="preserve">4.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E7D45" w:sz="24"/>
              <w:bottom w:val="single" w:color="BFBFBF" w:sz="4"/>
              <w:right w:val="single" w:color="BFBFBF" w:sz="4"/>
            </w:tcBorders>
            <w:shd w:fill="EEF2F7" w:val="clear"/>
            <w:tcMar>
              <w:top w:type="dxa" w:w="160"/>
              <w:left w:type="dxa" w:w="220"/>
              <w:bottom w:type="dxa" w:w="160"/>
              <w:right w:type="dxa" w:w="220"/>
            </w:tcMar>
          </w:tcPr>
          <w:p>
            <w:pPr>
              <w:spacing w:after="80"/>
            </w:pPr>
            <w:r>
              <w:rPr>
                <w:rFonts w:ascii="Calibri" w:cs="Calibri" w:eastAsia="Calibri" w:hAnsi="Calibri"/>
                <w:b/>
                <w:bCs/>
                <w:color w:val="1E7D45"/>
                <w:sz w:val="21"/>
                <w:szCs w:val="21"/>
              </w:rPr>
              <w:t xml:space="preserve">In-Scope</w:t>
            </w:r>
          </w:p>
          <w:p>
            <w:pPr>
              <w:pStyle w:val="ListParagraph"/>
              <w:numPr>
                <w:ilvl w:val="0"/>
                <w:numId w:val="2"/>
              </w:numPr>
              <w:spacing w:after="40"/>
            </w:pPr>
            <w:r>
              <w:rPr>
                <w:rFonts w:ascii="Calibri" w:cs="Calibri" w:eastAsia="Calibri" w:hAnsi="Calibri"/>
                <w:color w:val="222222"/>
                <w:sz w:val="19"/>
                <w:szCs w:val="19"/>
              </w:rPr>
              <w:t xml:space="preserve">Ingestion of raw JSON files containing Veritas API wrapped response details.</w:t>
            </w:r>
          </w:p>
          <w:p>
            <w:pPr>
              <w:pStyle w:val="ListParagraph"/>
              <w:numPr>
                <w:ilvl w:val="0"/>
                <w:numId w:val="2"/>
              </w:numPr>
              <w:spacing w:after="40"/>
            </w:pPr>
            <w:r>
              <w:rPr>
                <w:rFonts w:ascii="Calibri" w:cs="Calibri" w:eastAsia="Calibri" w:hAnsi="Calibri"/>
                <w:color w:val="222222"/>
                <w:sz w:val="19"/>
                <w:szCs w:val="19"/>
              </w:rPr>
              <w:t xml:space="preserve">Automatic classification of document components (lab_report vs. discharge_summary).</w:t>
            </w:r>
          </w:p>
          <w:p>
            <w:pPr>
              <w:pStyle w:val="ListParagraph"/>
              <w:numPr>
                <w:ilvl w:val="0"/>
                <w:numId w:val="2"/>
              </w:numPr>
              <w:spacing w:after="40"/>
            </w:pPr>
            <w:r>
              <w:rPr>
                <w:rFonts w:ascii="Calibri" w:cs="Calibri" w:eastAsia="Calibri" w:hAnsi="Calibri"/>
                <w:color w:val="222222"/>
                <w:sz w:val="19"/>
                <w:szCs w:val="19"/>
              </w:rPr>
              <w:t xml:space="preserve">Test name fuzzy matching against configured synonyms with threshold control.</w:t>
            </w:r>
          </w:p>
          <w:p>
            <w:pPr>
              <w:pStyle w:val="ListParagraph"/>
              <w:numPr>
                <w:ilvl w:val="0"/>
                <w:numId w:val="2"/>
              </w:numPr>
              <w:spacing w:after="40"/>
            </w:pPr>
            <w:r>
              <w:rPr>
                <w:rFonts w:ascii="Calibri" w:cs="Calibri" w:eastAsia="Calibri" w:hAnsi="Calibri"/>
                <w:color w:val="222222"/>
                <w:sz w:val="19"/>
                <w:szCs w:val="19"/>
              </w:rPr>
              <w:t xml:space="preserve">Unit conversion (e.g., standardizing mil/cu.mm to million/cu.mm).</w:t>
            </w:r>
          </w:p>
          <w:p>
            <w:pPr>
              <w:pStyle w:val="ListParagraph"/>
              <w:numPr>
                <w:ilvl w:val="0"/>
                <w:numId w:val="2"/>
              </w:numPr>
              <w:spacing w:after="40"/>
            </w:pPr>
            <w:r>
              <w:rPr>
                <w:rFonts w:ascii="Calibri" w:cs="Calibri" w:eastAsia="Calibri" w:hAnsi="Calibri"/>
                <w:color w:val="222222"/>
                <w:sz w:val="19"/>
                <w:szCs w:val="19"/>
              </w:rPr>
              <w:t xml:space="preserve">Automatic range classification based on parsed document boundaries.</w:t>
            </w:r>
          </w:p>
          <w:p>
            <w:pPr>
              <w:pStyle w:val="ListParagraph"/>
              <w:numPr>
                <w:ilvl w:val="0"/>
                <w:numId w:val="2"/>
              </w:numPr>
              <w:spacing w:after="40"/>
            </w:pPr>
            <w:r>
              <w:rPr>
                <w:rFonts w:ascii="Calibri" w:cs="Calibri" w:eastAsia="Calibri" w:hAnsi="Calibri"/>
                <w:color w:val="222222"/>
                <w:sz w:val="19"/>
                <w:szCs w:val="19"/>
              </w:rPr>
              <w:t xml:space="preserve">Idempotent loading to a flat relational database.</w:t>
            </w:r>
          </w:p>
          <w:p>
            <w:pPr>
              <w:pStyle w:val="ListParagraph"/>
              <w:numPr>
                <w:ilvl w:val="0"/>
                <w:numId w:val="2"/>
              </w:numPr>
              <w:spacing w:after="40"/>
            </w:pPr>
            <w:r>
              <w:rPr>
                <w:rFonts w:ascii="Calibri" w:cs="Calibri" w:eastAsia="Calibri" w:hAnsi="Calibri"/>
                <w:color w:val="222222"/>
                <w:sz w:val="19"/>
                <w:szCs w:val="19"/>
              </w:rPr>
              <w:t xml:space="preserve">Operational UI containing Dashboard, Flags table, Record Inspector, and Claims Analytics.</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A6353A" w:sz="24"/>
              <w:bottom w:val="single" w:color="BFBFBF" w:sz="4"/>
              <w:right w:val="single" w:color="BFBFBF" w:sz="4"/>
            </w:tcBorders>
            <w:shd w:fill="EEF2F7" w:val="clear"/>
            <w:tcMar>
              <w:top w:type="dxa" w:w="160"/>
              <w:left w:type="dxa" w:w="220"/>
              <w:bottom w:type="dxa" w:w="160"/>
              <w:right w:type="dxa" w:w="220"/>
            </w:tcMar>
          </w:tcPr>
          <w:p>
            <w:pPr>
              <w:spacing w:after="80"/>
            </w:pPr>
            <w:r>
              <w:rPr>
                <w:rFonts w:ascii="Calibri" w:cs="Calibri" w:eastAsia="Calibri" w:hAnsi="Calibri"/>
                <w:b/>
                <w:bCs/>
                <w:color w:val="A6353A"/>
                <w:sz w:val="21"/>
                <w:szCs w:val="21"/>
              </w:rPr>
              <w:t xml:space="preserve">Out-of-Scope</w:t>
            </w:r>
          </w:p>
          <w:p>
            <w:pPr>
              <w:pStyle w:val="ListParagraph"/>
              <w:numPr>
                <w:ilvl w:val="0"/>
                <w:numId w:val="2"/>
              </w:numPr>
              <w:spacing w:after="40"/>
            </w:pPr>
            <w:r>
              <w:rPr>
                <w:rFonts w:ascii="Calibri" w:cs="Calibri" w:eastAsia="Calibri" w:hAnsi="Calibri"/>
                <w:color w:val="222222"/>
                <w:sz w:val="19"/>
                <w:szCs w:val="19"/>
              </w:rPr>
              <w:t xml:space="preserve">Production deployment to cloud systems (prototype uses local SQLite/Vite).</w:t>
            </w:r>
          </w:p>
          <w:p>
            <w:pPr>
              <w:pStyle w:val="ListParagraph"/>
              <w:numPr>
                <w:ilvl w:val="0"/>
                <w:numId w:val="2"/>
              </w:numPr>
              <w:spacing w:after="40"/>
            </w:pPr>
            <w:r>
              <w:rPr>
                <w:rFonts w:ascii="Calibri" w:cs="Calibri" w:eastAsia="Calibri" w:hAnsi="Calibri"/>
                <w:color w:val="222222"/>
                <w:sz w:val="19"/>
                <w:szCs w:val="19"/>
              </w:rPr>
              <w:t xml:space="preserve">Automated GCS file polling (handled via manual directory scans and API triggers).</w:t>
            </w:r>
          </w:p>
          <w:p>
            <w:pPr>
              <w:pStyle w:val="ListParagraph"/>
              <w:numPr>
                <w:ilvl w:val="0"/>
                <w:numId w:val="2"/>
              </w:numPr>
              <w:spacing w:after="40"/>
            </w:pPr>
            <w:r>
              <w:rPr>
                <w:rFonts w:ascii="Calibri" w:cs="Calibri" w:eastAsia="Calibri" w:hAnsi="Calibri"/>
                <w:color w:val="222222"/>
                <w:sz w:val="19"/>
                <w:szCs w:val="19"/>
              </w:rPr>
              <w:t xml:space="preserve">Editing/updating parsed claims data directly in the dashboard UI.</w:t>
            </w:r>
          </w:p>
        </w:tc>
      </w:tr>
    </w:tbl>
    <w:p>
      <w:pPr>
        <w:pStyle w:val="Heading1"/>
        <w:pBdr>
          <w:bottom w:val="single" w:color="2E5F8A" w:sz="6" w:space="4"/>
        </w:pBdr>
        <w:spacing w:after="160" w:before="380"/>
      </w:pPr>
      <w:r>
        <w:rPr>
          <w:rFonts w:ascii="Calibri" w:cs="Calibri" w:eastAsia="Calibri" w:hAnsi="Calibri"/>
          <w:b/>
          <w:bCs/>
          <w:color w:val="1F3864"/>
          <w:sz w:val="28"/>
          <w:szCs w:val="28"/>
        </w:rPr>
        <w:t xml:space="preserve">5. Functional Requirements (FR)</w:t>
      </w:r>
    </w:p>
    <w:p>
      <w:pPr>
        <w:pStyle w:val="Heading2"/>
        <w:spacing w:after="100" w:before="220"/>
      </w:pPr>
      <w:r>
        <w:rPr>
          <w:rFonts w:ascii="Calibri" w:cs="Calibri" w:eastAsia="Calibri" w:hAnsi="Calibri"/>
          <w:b/>
          <w:bCs/>
          <w:color w:val="2E5F8A"/>
          <w:sz w:val="22"/>
          <w:szCs w:val="22"/>
        </w:rPr>
        <w:t xml:space="preserve">Ingestion &amp; Parsing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ID</w:t>
            </w:r>
          </w:p>
        </w:tc>
        <w:tc>
          <w:tcPr>
            <w:tcW w:type="dxa" w:w="776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Requirement</w:t>
            </w:r>
          </w:p>
        </w:tc>
      </w:tr>
      <w:tr>
        <w:tc>
          <w:tcPr>
            <w:tcW w:type="dxa" w:w="1600"/>
            <w:shd w:fill="FFFFFF" w:val="clear"/>
            <w:tcMar>
              <w:top w:type="dxa" w:w="90"/>
              <w:left w:type="dxa" w:w="120"/>
              <w:bottom w:type="dxa" w:w="90"/>
              <w:right w:type="dxa" w:w="120"/>
            </w:tcMar>
            <w:vAlign w:val="center"/>
          </w:tcPr>
          <w:p>
            <w:r>
              <w:rPr>
                <w:rFonts w:ascii="Consolas" w:cs="Consolas" w:eastAsia="Consolas" w:hAnsi="Consolas"/>
                <w:b/>
                <w:bCs/>
                <w:color w:val="1F3864"/>
                <w:sz w:val="19"/>
                <w:szCs w:val="19"/>
              </w:rPr>
              <w:t xml:space="preserve">FR-1.1</w:t>
            </w:r>
          </w:p>
        </w:tc>
        <w:tc>
          <w:tcPr>
            <w:tcW w:type="dxa" w:w="77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The system shall scan a specified folder for JSON files.</w:t>
            </w:r>
          </w:p>
        </w:tc>
      </w:tr>
      <w:tr>
        <w:tc>
          <w:tcPr>
            <w:tcW w:type="dxa" w:w="1600"/>
            <w:shd w:fill="EEF2F7" w:val="clear"/>
            <w:tcMar>
              <w:top w:type="dxa" w:w="90"/>
              <w:left w:type="dxa" w:w="120"/>
              <w:bottom w:type="dxa" w:w="90"/>
              <w:right w:type="dxa" w:w="120"/>
            </w:tcMar>
            <w:vAlign w:val="center"/>
          </w:tcPr>
          <w:p>
            <w:r>
              <w:rPr>
                <w:rFonts w:ascii="Consolas" w:cs="Consolas" w:eastAsia="Consolas" w:hAnsi="Consolas"/>
                <w:b/>
                <w:bCs/>
                <w:color w:val="1F3864"/>
                <w:sz w:val="19"/>
                <w:szCs w:val="19"/>
              </w:rPr>
              <w:t xml:space="preserve">FR-1.2</w:t>
            </w:r>
          </w:p>
        </w:tc>
        <w:tc>
          <w:tcPr>
            <w:tcW w:type="dxa" w:w="7760"/>
            <w:shd w:fill="EEF2F7" w:val="clear"/>
            <w:tcMar>
              <w:top w:type="dxa" w:w="90"/>
              <w:left w:type="dxa" w:w="120"/>
              <w:bottom w:type="dxa" w:w="90"/>
              <w:right w:type="dxa" w:w="120"/>
            </w:tcMar>
            <w:vAlign w:val="center"/>
          </w:tcPr>
          <w:p>
            <w:r>
              <w:rPr>
                <w:rFonts w:ascii="Calibri" w:cs="Calibri" w:eastAsia="Calibri" w:hAnsi="Calibri"/>
                <w:color w:val="222222"/>
                <w:sz w:val="19"/>
                <w:szCs w:val="19"/>
              </w:rPr>
              <w:t xml:space="preserve">The system shall parse the Veritas API wrapper metadata (traceId, documentId, correlationId, claim_no, source_system).</w:t>
            </w:r>
          </w:p>
        </w:tc>
      </w:tr>
      <w:tr>
        <w:tc>
          <w:tcPr>
            <w:tcW w:type="dxa" w:w="1600"/>
            <w:shd w:fill="FFFFFF" w:val="clear"/>
            <w:tcMar>
              <w:top w:type="dxa" w:w="90"/>
              <w:left w:type="dxa" w:w="120"/>
              <w:bottom w:type="dxa" w:w="90"/>
              <w:right w:type="dxa" w:w="120"/>
            </w:tcMar>
            <w:vAlign w:val="center"/>
          </w:tcPr>
          <w:p>
            <w:r>
              <w:rPr>
                <w:rFonts w:ascii="Consolas" w:cs="Consolas" w:eastAsia="Consolas" w:hAnsi="Consolas"/>
                <w:b/>
                <w:bCs/>
                <w:color w:val="1F3864"/>
                <w:sz w:val="19"/>
                <w:szCs w:val="19"/>
              </w:rPr>
              <w:t xml:space="preserve">FR-1.3</w:t>
            </w:r>
          </w:p>
        </w:tc>
        <w:tc>
          <w:tcPr>
            <w:tcW w:type="dxa" w:w="77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The system shall process multiple classifiers (lab_report and discharge_summary) contained within a single file.</w:t>
            </w:r>
          </w:p>
        </w:tc>
      </w:tr>
      <w:tr>
        <w:tc>
          <w:tcPr>
            <w:tcW w:type="dxa" w:w="1600"/>
            <w:shd w:fill="EEF2F7" w:val="clear"/>
            <w:tcMar>
              <w:top w:type="dxa" w:w="90"/>
              <w:left w:type="dxa" w:w="120"/>
              <w:bottom w:type="dxa" w:w="90"/>
              <w:right w:type="dxa" w:w="120"/>
            </w:tcMar>
            <w:vAlign w:val="center"/>
          </w:tcPr>
          <w:p>
            <w:r>
              <w:rPr>
                <w:rFonts w:ascii="Consolas" w:cs="Consolas" w:eastAsia="Consolas" w:hAnsi="Consolas"/>
                <w:b/>
                <w:bCs/>
                <w:color w:val="1F3864"/>
                <w:sz w:val="19"/>
                <w:szCs w:val="19"/>
              </w:rPr>
              <w:t xml:space="preserve">FR-1.4</w:t>
            </w:r>
          </w:p>
        </w:tc>
        <w:tc>
          <w:tcPr>
            <w:tcW w:type="dxa" w:w="7760"/>
            <w:shd w:fill="EEF2F7" w:val="clear"/>
            <w:tcMar>
              <w:top w:type="dxa" w:w="90"/>
              <w:left w:type="dxa" w:w="120"/>
              <w:bottom w:type="dxa" w:w="90"/>
              <w:right w:type="dxa" w:w="120"/>
            </w:tcMar>
            <w:vAlign w:val="center"/>
          </w:tcPr>
          <w:p>
            <w:r>
              <w:rPr>
                <w:rFonts w:ascii="Calibri" w:cs="Calibri" w:eastAsia="Calibri" w:hAnsi="Calibri"/>
                <w:color w:val="222222"/>
                <w:sz w:val="19"/>
                <w:szCs w:val="19"/>
              </w:rPr>
              <w:t xml:space="preserve">The system shall map nested paths dynamically into flat output records.</w:t>
            </w:r>
          </w:p>
        </w:tc>
      </w:tr>
    </w:tbl>
    <w:p>
      <w:pPr>
        <w:spacing w:after="160"/>
      </w:pPr>
    </w:p>
    <w:p>
      <w:pPr>
        <w:pStyle w:val="Heading2"/>
        <w:spacing w:after="100" w:before="220"/>
      </w:pPr>
      <w:r>
        <w:rPr>
          <w:rFonts w:ascii="Calibri" w:cs="Calibri" w:eastAsia="Calibri" w:hAnsi="Calibri"/>
          <w:b/>
          <w:bCs/>
          <w:color w:val="2E5F8A"/>
          <w:sz w:val="22"/>
          <w:szCs w:val="22"/>
        </w:rPr>
        <w:t xml:space="preserve">Standardization &amp; Normalization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ID</w:t>
            </w:r>
          </w:p>
        </w:tc>
        <w:tc>
          <w:tcPr>
            <w:tcW w:type="dxa" w:w="776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Requirement</w:t>
            </w:r>
          </w:p>
        </w:tc>
      </w:tr>
      <w:tr>
        <w:tc>
          <w:tcPr>
            <w:tcW w:type="dxa" w:w="1600"/>
            <w:shd w:fill="FFFFFF" w:val="clear"/>
            <w:tcMar>
              <w:top w:type="dxa" w:w="90"/>
              <w:left w:type="dxa" w:w="120"/>
              <w:bottom w:type="dxa" w:w="90"/>
              <w:right w:type="dxa" w:w="120"/>
            </w:tcMar>
            <w:vAlign w:val="center"/>
          </w:tcPr>
          <w:p>
            <w:r>
              <w:rPr>
                <w:rFonts w:ascii="Consolas" w:cs="Consolas" w:eastAsia="Consolas" w:hAnsi="Consolas"/>
                <w:b/>
                <w:bCs/>
                <w:color w:val="1F3864"/>
                <w:sz w:val="19"/>
                <w:szCs w:val="19"/>
              </w:rPr>
              <w:t xml:space="preserve">FR-2.1</w:t>
            </w:r>
          </w:p>
        </w:tc>
        <w:tc>
          <w:tcPr>
            <w:tcW w:type="dxa" w:w="77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The system shall map original test names to canonical names using exact match and fuzzy token sort matching.</w:t>
            </w:r>
          </w:p>
        </w:tc>
      </w:tr>
      <w:tr>
        <w:tc>
          <w:tcPr>
            <w:tcW w:type="dxa" w:w="1600"/>
            <w:shd w:fill="EEF2F7" w:val="clear"/>
            <w:tcMar>
              <w:top w:type="dxa" w:w="90"/>
              <w:left w:type="dxa" w:w="120"/>
              <w:bottom w:type="dxa" w:w="90"/>
              <w:right w:type="dxa" w:w="120"/>
            </w:tcMar>
            <w:vAlign w:val="center"/>
          </w:tcPr>
          <w:p>
            <w:r>
              <w:rPr>
                <w:rFonts w:ascii="Consolas" w:cs="Consolas" w:eastAsia="Consolas" w:hAnsi="Consolas"/>
                <w:b/>
                <w:bCs/>
                <w:color w:val="1F3864"/>
                <w:sz w:val="19"/>
                <w:szCs w:val="19"/>
              </w:rPr>
              <w:t xml:space="preserve">FR-2.2</w:t>
            </w:r>
          </w:p>
        </w:tc>
        <w:tc>
          <w:tcPr>
            <w:tcW w:type="dxa" w:w="7760"/>
            <w:shd w:fill="EEF2F7" w:val="clear"/>
            <w:tcMar>
              <w:top w:type="dxa" w:w="90"/>
              <w:left w:type="dxa" w:w="120"/>
              <w:bottom w:type="dxa" w:w="90"/>
              <w:right w:type="dxa" w:w="120"/>
            </w:tcMar>
            <w:vAlign w:val="center"/>
          </w:tcPr>
          <w:p>
            <w:r>
              <w:rPr>
                <w:rFonts w:ascii="Calibri" w:cs="Calibri" w:eastAsia="Calibri" w:hAnsi="Calibri"/>
                <w:color w:val="222222"/>
                <w:sz w:val="19"/>
                <w:szCs w:val="19"/>
              </w:rPr>
              <w:t xml:space="preserve">The system shall assign a confidence rating (0.0 to 1.0) and match method name to each normalized test.</w:t>
            </w:r>
          </w:p>
        </w:tc>
      </w:tr>
      <w:tr>
        <w:tc>
          <w:tcPr>
            <w:tcW w:type="dxa" w:w="1600"/>
            <w:shd w:fill="FFFFFF" w:val="clear"/>
            <w:tcMar>
              <w:top w:type="dxa" w:w="90"/>
              <w:left w:type="dxa" w:w="120"/>
              <w:bottom w:type="dxa" w:w="90"/>
              <w:right w:type="dxa" w:w="120"/>
            </w:tcMar>
            <w:vAlign w:val="center"/>
          </w:tcPr>
          <w:p>
            <w:r>
              <w:rPr>
                <w:rFonts w:ascii="Consolas" w:cs="Consolas" w:eastAsia="Consolas" w:hAnsi="Consolas"/>
                <w:b/>
                <w:bCs/>
                <w:color w:val="1F3864"/>
                <w:sz w:val="19"/>
                <w:szCs w:val="19"/>
              </w:rPr>
              <w:t xml:space="preserve">FR-2.3</w:t>
            </w:r>
          </w:p>
        </w:tc>
        <w:tc>
          <w:tcPr>
            <w:tcW w:type="dxa" w:w="77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The system shall parse range fields (e.g. 4000-10000, &lt;50) into range_low and range_high floats.</w:t>
            </w:r>
          </w:p>
        </w:tc>
      </w:tr>
      <w:tr>
        <w:tc>
          <w:tcPr>
            <w:tcW w:type="dxa" w:w="1600"/>
            <w:shd w:fill="EEF2F7" w:val="clear"/>
            <w:tcMar>
              <w:top w:type="dxa" w:w="90"/>
              <w:left w:type="dxa" w:w="120"/>
              <w:bottom w:type="dxa" w:w="90"/>
              <w:right w:type="dxa" w:w="120"/>
            </w:tcMar>
            <w:vAlign w:val="center"/>
          </w:tcPr>
          <w:p>
            <w:r>
              <w:rPr>
                <w:rFonts w:ascii="Consolas" w:cs="Consolas" w:eastAsia="Consolas" w:hAnsi="Consolas"/>
                <w:b/>
                <w:bCs/>
                <w:color w:val="1F3864"/>
                <w:sz w:val="19"/>
                <w:szCs w:val="19"/>
              </w:rPr>
              <w:t xml:space="preserve">FR-2.4</w:t>
            </w:r>
          </w:p>
        </w:tc>
        <w:tc>
          <w:tcPr>
            <w:tcW w:type="dxa" w:w="7760"/>
            <w:shd w:fill="EEF2F7" w:val="clear"/>
            <w:tcMar>
              <w:top w:type="dxa" w:w="90"/>
              <w:left w:type="dxa" w:w="120"/>
              <w:bottom w:type="dxa" w:w="90"/>
              <w:right w:type="dxa" w:w="120"/>
            </w:tcMar>
            <w:vAlign w:val="center"/>
          </w:tcPr>
          <w:p>
            <w:r>
              <w:rPr>
                <w:rFonts w:ascii="Calibri" w:cs="Calibri" w:eastAsia="Calibri" w:hAnsi="Calibri"/>
                <w:color w:val="222222"/>
                <w:sz w:val="19"/>
                <w:szCs w:val="19"/>
              </w:rPr>
              <w:t xml:space="preserve">The system shall parse results with units (e.g. 13.7 g/dl) into separate numeric value and unit fields.</w:t>
            </w:r>
          </w:p>
        </w:tc>
      </w:tr>
      <w:tr>
        <w:tc>
          <w:tcPr>
            <w:tcW w:type="dxa" w:w="1600"/>
            <w:shd w:fill="FFFFFF" w:val="clear"/>
            <w:tcMar>
              <w:top w:type="dxa" w:w="90"/>
              <w:left w:type="dxa" w:w="120"/>
              <w:bottom w:type="dxa" w:w="90"/>
              <w:right w:type="dxa" w:w="120"/>
            </w:tcMar>
            <w:vAlign w:val="center"/>
          </w:tcPr>
          <w:p>
            <w:r>
              <w:rPr>
                <w:rFonts w:ascii="Consolas" w:cs="Consolas" w:eastAsia="Consolas" w:hAnsi="Consolas"/>
                <w:b/>
                <w:bCs/>
                <w:color w:val="1F3864"/>
                <w:sz w:val="19"/>
                <w:szCs w:val="19"/>
              </w:rPr>
              <w:t xml:space="preserve">FR-2.5</w:t>
            </w:r>
          </w:p>
        </w:tc>
        <w:tc>
          <w:tcPr>
            <w:tcW w:type="dxa" w:w="77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The system shall normalize unit labels to canonical representations (e.g. g/dl -&gt; g/dL).</w:t>
            </w:r>
          </w:p>
        </w:tc>
      </w:tr>
    </w:tbl>
    <w:p>
      <w:pPr>
        <w:spacing w:after="160"/>
      </w:pPr>
    </w:p>
    <w:p>
      <w:pPr>
        <w:pStyle w:val="Heading2"/>
        <w:spacing w:after="100" w:before="220"/>
      </w:pPr>
      <w:r>
        <w:rPr>
          <w:rFonts w:ascii="Calibri" w:cs="Calibri" w:eastAsia="Calibri" w:hAnsi="Calibri"/>
          <w:b/>
          <w:bCs/>
          <w:color w:val="2E5F8A"/>
          <w:sz w:val="22"/>
          <w:szCs w:val="22"/>
        </w:rPr>
        <w:t xml:space="preserve">Validation &amp; Flagging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ID</w:t>
            </w:r>
          </w:p>
        </w:tc>
        <w:tc>
          <w:tcPr>
            <w:tcW w:type="dxa" w:w="776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Requirement</w:t>
            </w:r>
          </w:p>
        </w:tc>
      </w:tr>
      <w:tr>
        <w:tc>
          <w:tcPr>
            <w:tcW w:type="dxa" w:w="1600"/>
            <w:shd w:fill="FFFFFF" w:val="clear"/>
            <w:tcMar>
              <w:top w:type="dxa" w:w="90"/>
              <w:left w:type="dxa" w:w="120"/>
              <w:bottom w:type="dxa" w:w="90"/>
              <w:right w:type="dxa" w:w="120"/>
            </w:tcMar>
            <w:vAlign w:val="center"/>
          </w:tcPr>
          <w:p>
            <w:r>
              <w:rPr>
                <w:rFonts w:ascii="Consolas" w:cs="Consolas" w:eastAsia="Consolas" w:hAnsi="Consolas"/>
                <w:b/>
                <w:bCs/>
                <w:color w:val="1F3864"/>
                <w:sz w:val="19"/>
                <w:szCs w:val="19"/>
              </w:rPr>
              <w:t xml:space="preserve">FR-3.1</w:t>
            </w:r>
          </w:p>
        </w:tc>
        <w:tc>
          <w:tcPr>
            <w:tcW w:type="dxa" w:w="77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The system shall classify each lab result into one of: Within Range, Above Range, Below Range, Outlier, or Invalid.</w:t>
            </w:r>
          </w:p>
        </w:tc>
      </w:tr>
      <w:tr>
        <w:tc>
          <w:tcPr>
            <w:tcW w:type="dxa" w:w="1600"/>
            <w:shd w:fill="EEF2F7" w:val="clear"/>
            <w:tcMar>
              <w:top w:type="dxa" w:w="90"/>
              <w:left w:type="dxa" w:w="120"/>
              <w:bottom w:type="dxa" w:w="90"/>
              <w:right w:type="dxa" w:w="120"/>
            </w:tcMar>
            <w:vAlign w:val="center"/>
          </w:tcPr>
          <w:p>
            <w:r>
              <w:rPr>
                <w:rFonts w:ascii="Consolas" w:cs="Consolas" w:eastAsia="Consolas" w:hAnsi="Consolas"/>
                <w:b/>
                <w:bCs/>
                <w:color w:val="1F3864"/>
                <w:sz w:val="19"/>
                <w:szCs w:val="19"/>
              </w:rPr>
              <w:t xml:space="preserve">FR-3.2</w:t>
            </w:r>
          </w:p>
        </w:tc>
        <w:tc>
          <w:tcPr>
            <w:tcW w:type="dxa" w:w="7760"/>
            <w:shd w:fill="EEF2F7" w:val="clear"/>
            <w:tcMar>
              <w:top w:type="dxa" w:w="90"/>
              <w:left w:type="dxa" w:w="120"/>
              <w:bottom w:type="dxa" w:w="90"/>
              <w:right w:type="dxa" w:w="120"/>
            </w:tcMar>
            <w:vAlign w:val="center"/>
          </w:tcPr>
          <w:p>
            <w:r>
              <w:rPr>
                <w:rFonts w:ascii="Calibri" w:cs="Calibri" w:eastAsia="Calibri" w:hAnsi="Calibri"/>
                <w:color w:val="222222"/>
                <w:sz w:val="19"/>
                <w:szCs w:val="19"/>
              </w:rPr>
              <w:t xml:space="preserve">Results that deviate by more than 3x the range width outside normal boundaries shall be flagged as Outlier.</w:t>
            </w:r>
          </w:p>
        </w:tc>
      </w:tr>
      <w:tr>
        <w:tc>
          <w:tcPr>
            <w:tcW w:type="dxa" w:w="1600"/>
            <w:shd w:fill="FFFFFF" w:val="clear"/>
            <w:tcMar>
              <w:top w:type="dxa" w:w="90"/>
              <w:left w:type="dxa" w:w="120"/>
              <w:bottom w:type="dxa" w:w="90"/>
              <w:right w:type="dxa" w:w="120"/>
            </w:tcMar>
            <w:vAlign w:val="center"/>
          </w:tcPr>
          <w:p>
            <w:r>
              <w:rPr>
                <w:rFonts w:ascii="Consolas" w:cs="Consolas" w:eastAsia="Consolas" w:hAnsi="Consolas"/>
                <w:b/>
                <w:bCs/>
                <w:color w:val="1F3864"/>
                <w:sz w:val="19"/>
                <w:szCs w:val="19"/>
              </w:rPr>
              <w:t xml:space="preserve">FR-3.3</w:t>
            </w:r>
          </w:p>
        </w:tc>
        <w:tc>
          <w:tcPr>
            <w:tcW w:type="dxa" w:w="77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Qualitative results indicating abnormalities (e.g., "POSITIVE") shall be classified as Above Range.</w:t>
            </w:r>
          </w:p>
        </w:tc>
      </w:tr>
    </w:tbl>
    <w:p>
      <w:pPr>
        <w:spacing w:after="160"/>
      </w:pPr>
    </w:p>
    <w:p>
      <w:pPr>
        <w:pStyle w:val="Heading2"/>
        <w:spacing w:after="100" w:before="220"/>
      </w:pPr>
      <w:r>
        <w:rPr>
          <w:rFonts w:ascii="Calibri" w:cs="Calibri" w:eastAsia="Calibri" w:hAnsi="Calibri"/>
          <w:b/>
          <w:bCs/>
          <w:color w:val="2E5F8A"/>
          <w:sz w:val="22"/>
          <w:szCs w:val="22"/>
        </w:rPr>
        <w:t xml:space="preserve">Storage &amp; Deduplication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ID</w:t>
            </w:r>
          </w:p>
        </w:tc>
        <w:tc>
          <w:tcPr>
            <w:tcW w:type="dxa" w:w="776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Requirement</w:t>
            </w:r>
          </w:p>
        </w:tc>
      </w:tr>
      <w:tr>
        <w:tc>
          <w:tcPr>
            <w:tcW w:type="dxa" w:w="1600"/>
            <w:shd w:fill="FFFFFF" w:val="clear"/>
            <w:tcMar>
              <w:top w:type="dxa" w:w="90"/>
              <w:left w:type="dxa" w:w="120"/>
              <w:bottom w:type="dxa" w:w="90"/>
              <w:right w:type="dxa" w:w="120"/>
            </w:tcMar>
            <w:vAlign w:val="center"/>
          </w:tcPr>
          <w:p>
            <w:r>
              <w:rPr>
                <w:rFonts w:ascii="Consolas" w:cs="Consolas" w:eastAsia="Consolas" w:hAnsi="Consolas"/>
                <w:b/>
                <w:bCs/>
                <w:color w:val="1F3864"/>
                <w:sz w:val="19"/>
                <w:szCs w:val="19"/>
              </w:rPr>
              <w:t xml:space="preserve">FR-4.1</w:t>
            </w:r>
          </w:p>
        </w:tc>
        <w:tc>
          <w:tcPr>
            <w:tcW w:type="dxa" w:w="77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The system shall store all standardized output in a single flat database table.</w:t>
            </w:r>
          </w:p>
        </w:tc>
      </w:tr>
      <w:tr>
        <w:tc>
          <w:tcPr>
            <w:tcW w:type="dxa" w:w="1600"/>
            <w:shd w:fill="EEF2F7" w:val="clear"/>
            <w:tcMar>
              <w:top w:type="dxa" w:w="90"/>
              <w:left w:type="dxa" w:w="120"/>
              <w:bottom w:type="dxa" w:w="90"/>
              <w:right w:type="dxa" w:w="120"/>
            </w:tcMar>
            <w:vAlign w:val="center"/>
          </w:tcPr>
          <w:p>
            <w:r>
              <w:rPr>
                <w:rFonts w:ascii="Consolas" w:cs="Consolas" w:eastAsia="Consolas" w:hAnsi="Consolas"/>
                <w:b/>
                <w:bCs/>
                <w:color w:val="1F3864"/>
                <w:sz w:val="19"/>
                <w:szCs w:val="19"/>
              </w:rPr>
              <w:t xml:space="preserve">FR-4.2</w:t>
            </w:r>
          </w:p>
        </w:tc>
        <w:tc>
          <w:tcPr>
            <w:tcW w:type="dxa" w:w="7760"/>
            <w:shd w:fill="EEF2F7" w:val="clear"/>
            <w:tcMar>
              <w:top w:type="dxa" w:w="90"/>
              <w:left w:type="dxa" w:w="120"/>
              <w:bottom w:type="dxa" w:w="90"/>
              <w:right w:type="dxa" w:w="120"/>
            </w:tcMar>
            <w:vAlign w:val="center"/>
          </w:tcPr>
          <w:p>
            <w:r>
              <w:rPr>
                <w:rFonts w:ascii="Calibri" w:cs="Calibri" w:eastAsia="Calibri" w:hAnsi="Calibri"/>
                <w:color w:val="222222"/>
                <w:sz w:val="19"/>
                <w:szCs w:val="19"/>
              </w:rPr>
              <w:t xml:space="preserve">The system shall implement idempotency to prevent duplicating records upon multiple runs.</w:t>
            </w:r>
          </w:p>
        </w:tc>
      </w:tr>
    </w:tbl>
    <w:p>
      <w:pPr>
        <w:pStyle w:val="Heading1"/>
        <w:pBdr>
          <w:bottom w:val="single" w:color="2E5F8A" w:sz="6" w:space="4"/>
        </w:pBdr>
        <w:spacing w:after="160" w:before="380"/>
      </w:pPr>
      <w:r>
        <w:rPr>
          <w:rFonts w:ascii="Calibri" w:cs="Calibri" w:eastAsia="Calibri" w:hAnsi="Calibri"/>
          <w:b/>
          <w:bCs/>
          <w:color w:val="1F3864"/>
          <w:sz w:val="28"/>
          <w:szCs w:val="28"/>
        </w:rPr>
        <w:t xml:space="preserve">6. Non-Functional Requirements (NFR)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ID</w:t>
            </w:r>
          </w:p>
        </w:tc>
        <w:tc>
          <w:tcPr>
            <w:tcW w:type="dxa" w:w="776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Requirement</w:t>
            </w:r>
          </w:p>
        </w:tc>
      </w:tr>
      <w:tr>
        <w:tc>
          <w:tcPr>
            <w:tcW w:type="dxa" w:w="1600"/>
            <w:shd w:fill="FFFFFF" w:val="clear"/>
            <w:tcMar>
              <w:top w:type="dxa" w:w="90"/>
              <w:left w:type="dxa" w:w="120"/>
              <w:bottom w:type="dxa" w:w="90"/>
              <w:right w:type="dxa" w:w="120"/>
            </w:tcMar>
            <w:vAlign w:val="center"/>
          </w:tcPr>
          <w:p>
            <w:r>
              <w:rPr>
                <w:rFonts w:ascii="Consolas" w:cs="Consolas" w:eastAsia="Consolas" w:hAnsi="Consolas"/>
                <w:b/>
                <w:bCs/>
                <w:color w:val="1F3864"/>
                <w:sz w:val="19"/>
                <w:szCs w:val="19"/>
              </w:rPr>
              <w:t xml:space="preserve">NFR-1</w:t>
            </w:r>
          </w:p>
        </w:tc>
        <w:tc>
          <w:tcPr>
            <w:tcW w:type="dxa" w:w="77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Performance — The pipeline must process a typical claim file (100+ lab tests) in under 500ms.</w:t>
            </w:r>
          </w:p>
        </w:tc>
      </w:tr>
      <w:tr>
        <w:tc>
          <w:tcPr>
            <w:tcW w:type="dxa" w:w="1600"/>
            <w:shd w:fill="EEF2F7" w:val="clear"/>
            <w:tcMar>
              <w:top w:type="dxa" w:w="90"/>
              <w:left w:type="dxa" w:w="120"/>
              <w:bottom w:type="dxa" w:w="90"/>
              <w:right w:type="dxa" w:w="120"/>
            </w:tcMar>
            <w:vAlign w:val="center"/>
          </w:tcPr>
          <w:p>
            <w:r>
              <w:rPr>
                <w:rFonts w:ascii="Consolas" w:cs="Consolas" w:eastAsia="Consolas" w:hAnsi="Consolas"/>
                <w:b/>
                <w:bCs/>
                <w:color w:val="1F3864"/>
                <w:sz w:val="19"/>
                <w:szCs w:val="19"/>
              </w:rPr>
              <w:t xml:space="preserve">NFR-2</w:t>
            </w:r>
          </w:p>
        </w:tc>
        <w:tc>
          <w:tcPr>
            <w:tcW w:type="dxa" w:w="7760"/>
            <w:shd w:fill="EEF2F7" w:val="clear"/>
            <w:tcMar>
              <w:top w:type="dxa" w:w="90"/>
              <w:left w:type="dxa" w:w="120"/>
              <w:bottom w:type="dxa" w:w="90"/>
              <w:right w:type="dxa" w:w="120"/>
            </w:tcMar>
            <w:vAlign w:val="center"/>
          </w:tcPr>
          <w:p>
            <w:r>
              <w:rPr>
                <w:rFonts w:ascii="Calibri" w:cs="Calibri" w:eastAsia="Calibri" w:hAnsi="Calibri"/>
                <w:color w:val="222222"/>
                <w:sz w:val="19"/>
                <w:szCs w:val="19"/>
              </w:rPr>
              <w:t xml:space="preserve">Robustness — A single corrupted JSON file must not crash the batch run. Errors must be logged to the database.</w:t>
            </w:r>
          </w:p>
        </w:tc>
      </w:tr>
      <w:tr>
        <w:tc>
          <w:tcPr>
            <w:tcW w:type="dxa" w:w="1600"/>
            <w:shd w:fill="FFFFFF" w:val="clear"/>
            <w:tcMar>
              <w:top w:type="dxa" w:w="90"/>
              <w:left w:type="dxa" w:w="120"/>
              <w:bottom w:type="dxa" w:w="90"/>
              <w:right w:type="dxa" w:w="120"/>
            </w:tcMar>
            <w:vAlign w:val="center"/>
          </w:tcPr>
          <w:p>
            <w:r>
              <w:rPr>
                <w:rFonts w:ascii="Consolas" w:cs="Consolas" w:eastAsia="Consolas" w:hAnsi="Consolas"/>
                <w:b/>
                <w:bCs/>
                <w:color w:val="1F3864"/>
                <w:sz w:val="19"/>
                <w:szCs w:val="19"/>
              </w:rPr>
              <w:t xml:space="preserve">NFR-3</w:t>
            </w:r>
          </w:p>
        </w:tc>
        <w:tc>
          <w:tcPr>
            <w:tcW w:type="dxa" w:w="77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Extensibility — New canonical test mappings must be configurable via JSON edits without modifying backend Python code.</w:t>
            </w:r>
          </w:p>
        </w:tc>
      </w:tr>
      <w:tr>
        <w:tc>
          <w:tcPr>
            <w:tcW w:type="dxa" w:w="1600"/>
            <w:shd w:fill="EEF2F7" w:val="clear"/>
            <w:tcMar>
              <w:top w:type="dxa" w:w="90"/>
              <w:left w:type="dxa" w:w="120"/>
              <w:bottom w:type="dxa" w:w="90"/>
              <w:right w:type="dxa" w:w="120"/>
            </w:tcMar>
            <w:vAlign w:val="center"/>
          </w:tcPr>
          <w:p>
            <w:r>
              <w:rPr>
                <w:rFonts w:ascii="Consolas" w:cs="Consolas" w:eastAsia="Consolas" w:hAnsi="Consolas"/>
                <w:b/>
                <w:bCs/>
                <w:color w:val="1F3864"/>
                <w:sz w:val="19"/>
                <w:szCs w:val="19"/>
              </w:rPr>
              <w:t xml:space="preserve">NFR-4</w:t>
            </w:r>
          </w:p>
        </w:tc>
        <w:tc>
          <w:tcPr>
            <w:tcW w:type="dxa" w:w="7760"/>
            <w:shd w:fill="EEF2F7" w:val="clear"/>
            <w:tcMar>
              <w:top w:type="dxa" w:w="90"/>
              <w:left w:type="dxa" w:w="120"/>
              <w:bottom w:type="dxa" w:w="90"/>
              <w:right w:type="dxa" w:w="120"/>
            </w:tcMar>
            <w:vAlign w:val="center"/>
          </w:tcPr>
          <w:p>
            <w:r>
              <w:rPr>
                <w:rFonts w:ascii="Calibri" w:cs="Calibri" w:eastAsia="Calibri" w:hAnsi="Calibri"/>
                <w:color w:val="222222"/>
                <w:sz w:val="19"/>
                <w:szCs w:val="19"/>
              </w:rPr>
              <w:t xml:space="preserve">Security — The database schema must separate operational logs from clinical data.</w:t>
            </w:r>
          </w:p>
        </w:tc>
      </w:tr>
      <w:tr>
        <w:tc>
          <w:tcPr>
            <w:tcW w:type="dxa" w:w="1600"/>
            <w:shd w:fill="FFFFFF" w:val="clear"/>
            <w:tcMar>
              <w:top w:type="dxa" w:w="90"/>
              <w:left w:type="dxa" w:w="120"/>
              <w:bottom w:type="dxa" w:w="90"/>
              <w:right w:type="dxa" w:w="120"/>
            </w:tcMar>
            <w:vAlign w:val="center"/>
          </w:tcPr>
          <w:p>
            <w:r>
              <w:rPr>
                <w:rFonts w:ascii="Consolas" w:cs="Consolas" w:eastAsia="Consolas" w:hAnsi="Consolas"/>
                <w:b/>
                <w:bCs/>
                <w:color w:val="1F3864"/>
                <w:sz w:val="19"/>
                <w:szCs w:val="19"/>
              </w:rPr>
              <w:t xml:space="preserve">NFR-5</w:t>
            </w:r>
          </w:p>
        </w:tc>
        <w:tc>
          <w:tcPr>
            <w:tcW w:type="dxa" w:w="77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Usability — The UI must load pages in under 1.5 seconds.</w:t>
            </w:r>
          </w:p>
        </w:tc>
      </w:tr>
    </w:tbl>
    <w:p>
      <w:pPr>
        <w:pStyle w:val="Heading1"/>
        <w:pBdr>
          <w:bottom w:val="single" w:color="2E5F8A" w:sz="6" w:space="4"/>
        </w:pBdr>
        <w:spacing w:after="160" w:before="380"/>
      </w:pPr>
      <w:r>
        <w:rPr>
          <w:rFonts w:ascii="Calibri" w:cs="Calibri" w:eastAsia="Calibri" w:hAnsi="Calibri"/>
          <w:b/>
          <w:bCs/>
          <w:color w:val="1F3864"/>
          <w:sz w:val="28"/>
          <w:szCs w:val="28"/>
        </w:rPr>
        <w:t xml:space="preserve">7. User Roles &amp; Use Cases</w:t>
      </w:r>
    </w:p>
    <w:p>
      <w:pPr>
        <w:pStyle w:val="Heading2"/>
        <w:spacing w:after="100" w:before="220"/>
      </w:pPr>
      <w:r>
        <w:rPr>
          <w:rFonts w:ascii="Calibri" w:cs="Calibri" w:eastAsia="Calibri" w:hAnsi="Calibri"/>
          <w:b/>
          <w:bCs/>
          <w:color w:val="2E5F8A"/>
          <w:sz w:val="22"/>
          <w:szCs w:val="22"/>
        </w:rPr>
        <w:t xml:space="preserve">User Roles</w:t>
      </w:r>
    </w:p>
    <w:p>
      <w:pPr>
        <w:pStyle w:val="ListParagraph"/>
        <w:numPr>
          <w:ilvl w:val="0"/>
          <w:numId w:val="2"/>
        </w:numPr>
        <w:spacing w:after="80"/>
      </w:pPr>
      <w:r>
        <w:rPr>
          <w:rFonts w:ascii="Calibri" w:cs="Calibri" w:eastAsia="Calibri" w:hAnsi="Calibri"/>
          <w:b/>
          <w:bCs/>
          <w:color w:val="222222"/>
          <w:sz w:val="20"/>
          <w:szCs w:val="20"/>
        </w:rPr>
        <w:t xml:space="preserve">Claim Reviewer: </w:t>
      </w:r>
      <w:r>
        <w:rPr>
          <w:rFonts w:ascii="Calibri" w:cs="Calibri" w:eastAsia="Calibri" w:hAnsi="Calibri"/>
          <w:color w:val="222222"/>
          <w:sz w:val="20"/>
          <w:szCs w:val="20"/>
        </w:rPr>
        <w:t xml:space="preserve">Audits claims, views flagged anomalies, and inspects patient documents.</w:t>
      </w:r>
    </w:p>
    <w:p>
      <w:pPr>
        <w:pStyle w:val="ListParagraph"/>
        <w:numPr>
          <w:ilvl w:val="0"/>
          <w:numId w:val="2"/>
        </w:numPr>
        <w:spacing w:after="80"/>
      </w:pPr>
      <w:r>
        <w:rPr>
          <w:rFonts w:ascii="Calibri" w:cs="Calibri" w:eastAsia="Calibri" w:hAnsi="Calibri"/>
          <w:b/>
          <w:bCs/>
          <w:color w:val="222222"/>
          <w:sz w:val="20"/>
          <w:szCs w:val="20"/>
        </w:rPr>
        <w:t xml:space="preserve">Operations Engineer: </w:t>
      </w:r>
      <w:r>
        <w:rPr>
          <w:rFonts w:ascii="Calibri" w:cs="Calibri" w:eastAsia="Calibri" w:hAnsi="Calibri"/>
          <w:color w:val="222222"/>
          <w:sz w:val="20"/>
          <w:szCs w:val="20"/>
        </w:rPr>
        <w:t xml:space="preserve">Triggers ingestion runs, monitors system performance, and reviews error logs.</w:t>
      </w:r>
    </w:p>
    <w:p>
      <w:pPr>
        <w:pStyle w:val="ListParagraph"/>
        <w:numPr>
          <w:ilvl w:val="0"/>
          <w:numId w:val="2"/>
        </w:numPr>
        <w:spacing w:after="80"/>
      </w:pPr>
      <w:r>
        <w:rPr>
          <w:rFonts w:ascii="Calibri" w:cs="Calibri" w:eastAsia="Calibri" w:hAnsi="Calibri"/>
          <w:b/>
          <w:bCs/>
          <w:color w:val="222222"/>
          <w:sz w:val="20"/>
          <w:szCs w:val="20"/>
        </w:rPr>
        <w:t xml:space="preserve">Clinical Admin: </w:t>
      </w:r>
      <w:r>
        <w:rPr>
          <w:rFonts w:ascii="Calibri" w:cs="Calibri" w:eastAsia="Calibri" w:hAnsi="Calibri"/>
          <w:color w:val="222222"/>
          <w:sz w:val="20"/>
          <w:szCs w:val="20"/>
        </w:rPr>
        <w:t xml:space="preserve">Tunes canonical test mappings and matching thresholds.</w:t>
      </w:r>
    </w:p>
    <w:p>
      <w:pPr>
        <w:spacing w:after="100"/>
      </w:pPr>
    </w:p>
    <w:p>
      <w:pPr>
        <w:pStyle w:val="Heading2"/>
        <w:spacing w:after="100" w:before="220"/>
      </w:pPr>
      <w:r>
        <w:rPr>
          <w:rFonts w:ascii="Calibri" w:cs="Calibri" w:eastAsia="Calibri" w:hAnsi="Calibri"/>
          <w:b/>
          <w:bCs/>
          <w:color w:val="2E5F8A"/>
          <w:sz w:val="22"/>
          <w:szCs w:val="22"/>
        </w:rPr>
        <w:t xml:space="preserve">Use Case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Actor</w:t>
            </w:r>
          </w:p>
        </w:tc>
        <w:tc>
          <w:tcPr>
            <w:tcW w:type="dxa" w:w="686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Use Case</w:t>
            </w:r>
          </w:p>
        </w:tc>
      </w:tr>
      <w:tr>
        <w:tc>
          <w:tcPr>
            <w:tcW w:type="dxa" w:w="2500"/>
            <w:shd w:fill="EEF2F7" w:val="clear"/>
            <w:tcMar>
              <w:top w:type="dxa" w:w="90"/>
              <w:left w:type="dxa" w:w="120"/>
              <w:bottom w:type="dxa" w:w="90"/>
              <w:right w:type="dxa" w:w="120"/>
            </w:tcMar>
            <w:vAlign w:val="center"/>
          </w:tcPr>
          <w:p>
            <w:r>
              <w:rPr>
                <w:rFonts w:ascii="Calibri" w:cs="Calibri" w:eastAsia="Calibri" w:hAnsi="Calibri"/>
                <w:b/>
                <w:bCs/>
                <w:color w:val="1F3864"/>
                <w:sz w:val="19"/>
                <w:szCs w:val="19"/>
              </w:rPr>
              <w:t xml:space="preserve">Claim Reviewer</w:t>
            </w:r>
          </w:p>
        </w:tc>
        <w:tc>
          <w:tcPr>
            <w:tcW w:type="dxa" w:w="6860"/>
            <w:tcMar>
              <w:top w:type="dxa" w:w="90"/>
              <w:left w:type="dxa" w:w="120"/>
              <w:bottom w:type="dxa" w:w="90"/>
              <w:right w:type="dxa" w:w="120"/>
            </w:tcMar>
            <w:vAlign w:val="center"/>
          </w:tcPr>
          <w:p>
            <w:r>
              <w:rPr>
                <w:rFonts w:ascii="Calibri" w:cs="Calibri" w:eastAsia="Calibri" w:hAnsi="Calibri"/>
                <w:color w:val="222222"/>
                <w:sz w:val="19"/>
                <w:szCs w:val="19"/>
              </w:rPr>
              <w:t xml:space="preserve">→ Inspect Standardized Claims</w:t>
            </w:r>
          </w:p>
        </w:tc>
      </w:tr>
      <w:tr>
        <w:tc>
          <w:tcPr>
            <w:tcW w:type="dxa" w:w="2500"/>
            <w:shd w:fill="FFFFFF" w:val="clear"/>
            <w:tcMar>
              <w:top w:type="dxa" w:w="90"/>
              <w:left w:type="dxa" w:w="120"/>
              <w:bottom w:type="dxa" w:w="90"/>
              <w:right w:type="dxa" w:w="120"/>
            </w:tcMar>
            <w:vAlign w:val="center"/>
          </w:tcPr>
          <w:p>
            <w:r>
              <w:rPr>
                <w:rFonts w:ascii="Calibri" w:cs="Calibri" w:eastAsia="Calibri" w:hAnsi="Calibri"/>
                <w:b w:val="false"/>
                <w:bCs w:val="false"/>
                <w:color w:val="1F3864"/>
                <w:sz w:val="19"/>
                <w:szCs w:val="19"/>
              </w:rPr>
              <w:t xml:space="preserve"/>
            </w:r>
          </w:p>
        </w:tc>
        <w:tc>
          <w:tcPr>
            <w:tcW w:type="dxa" w:w="6860"/>
            <w:tcMar>
              <w:top w:type="dxa" w:w="90"/>
              <w:left w:type="dxa" w:w="120"/>
              <w:bottom w:type="dxa" w:w="90"/>
              <w:right w:type="dxa" w:w="120"/>
            </w:tcMar>
            <w:vAlign w:val="center"/>
          </w:tcPr>
          <w:p>
            <w:r>
              <w:rPr>
                <w:rFonts w:ascii="Calibri" w:cs="Calibri" w:eastAsia="Calibri" w:hAnsi="Calibri"/>
                <w:color w:val="222222"/>
                <w:sz w:val="19"/>
                <w:szCs w:val="19"/>
              </w:rPr>
              <w:t xml:space="preserve">→ Filter Flagged Anomalies</w:t>
            </w:r>
          </w:p>
        </w:tc>
      </w:tr>
      <w:tr>
        <w:tc>
          <w:tcPr>
            <w:tcW w:type="dxa" w:w="2500"/>
            <w:shd w:fill="EEF2F7" w:val="clear"/>
            <w:tcMar>
              <w:top w:type="dxa" w:w="90"/>
              <w:left w:type="dxa" w:w="120"/>
              <w:bottom w:type="dxa" w:w="90"/>
              <w:right w:type="dxa" w:w="120"/>
            </w:tcMar>
            <w:vAlign w:val="center"/>
          </w:tcPr>
          <w:p>
            <w:r>
              <w:rPr>
                <w:rFonts w:ascii="Calibri" w:cs="Calibri" w:eastAsia="Calibri" w:hAnsi="Calibri"/>
                <w:b/>
                <w:bCs/>
                <w:color w:val="1F3864"/>
                <w:sz w:val="19"/>
                <w:szCs w:val="19"/>
              </w:rPr>
              <w:t xml:space="preserve">Operations Engineer</w:t>
            </w:r>
          </w:p>
        </w:tc>
        <w:tc>
          <w:tcPr>
            <w:tcW w:type="dxa" w:w="6860"/>
            <w:tcMar>
              <w:top w:type="dxa" w:w="90"/>
              <w:left w:type="dxa" w:w="120"/>
              <w:bottom w:type="dxa" w:w="90"/>
              <w:right w:type="dxa" w:w="120"/>
            </w:tcMar>
            <w:vAlign w:val="center"/>
          </w:tcPr>
          <w:p>
            <w:r>
              <w:rPr>
                <w:rFonts w:ascii="Calibri" w:cs="Calibri" w:eastAsia="Calibri" w:hAnsi="Calibri"/>
                <w:color w:val="222222"/>
                <w:sz w:val="19"/>
                <w:szCs w:val="19"/>
              </w:rPr>
              <w:t xml:space="preserve">→ Trigger Ingestion Run</w:t>
            </w:r>
          </w:p>
        </w:tc>
      </w:tr>
      <w:tr>
        <w:tc>
          <w:tcPr>
            <w:tcW w:type="dxa" w:w="2500"/>
            <w:shd w:fill="FFFFFF" w:val="clear"/>
            <w:tcMar>
              <w:top w:type="dxa" w:w="90"/>
              <w:left w:type="dxa" w:w="120"/>
              <w:bottom w:type="dxa" w:w="90"/>
              <w:right w:type="dxa" w:w="120"/>
            </w:tcMar>
            <w:vAlign w:val="center"/>
          </w:tcPr>
          <w:p>
            <w:r>
              <w:rPr>
                <w:rFonts w:ascii="Calibri" w:cs="Calibri" w:eastAsia="Calibri" w:hAnsi="Calibri"/>
                <w:b w:val="false"/>
                <w:bCs w:val="false"/>
                <w:color w:val="1F3864"/>
                <w:sz w:val="19"/>
                <w:szCs w:val="19"/>
              </w:rPr>
              <w:t xml:space="preserve"/>
            </w:r>
          </w:p>
        </w:tc>
        <w:tc>
          <w:tcPr>
            <w:tcW w:type="dxa" w:w="6860"/>
            <w:tcMar>
              <w:top w:type="dxa" w:w="90"/>
              <w:left w:type="dxa" w:w="120"/>
              <w:bottom w:type="dxa" w:w="90"/>
              <w:right w:type="dxa" w:w="120"/>
            </w:tcMar>
            <w:vAlign w:val="center"/>
          </w:tcPr>
          <w:p>
            <w:r>
              <w:rPr>
                <w:rFonts w:ascii="Calibri" w:cs="Calibri" w:eastAsia="Calibri" w:hAnsi="Calibri"/>
                <w:color w:val="222222"/>
                <w:sz w:val="19"/>
                <w:szCs w:val="19"/>
              </w:rPr>
              <w:t xml:space="preserve">→ Monitor System Performance</w:t>
            </w:r>
          </w:p>
        </w:tc>
      </w:tr>
    </w:tbl>
    <w:p>
      <w:pPr>
        <w:pStyle w:val="Heading1"/>
        <w:pBdr>
          <w:bottom w:val="single" w:color="2E5F8A" w:sz="6" w:space="4"/>
        </w:pBdr>
        <w:spacing w:after="160" w:before="380"/>
      </w:pPr>
      <w:r>
        <w:rPr>
          <w:rFonts w:ascii="Calibri" w:cs="Calibri" w:eastAsia="Calibri" w:hAnsi="Calibri"/>
          <w:b/>
          <w:bCs/>
          <w:color w:val="1F3864"/>
          <w:sz w:val="28"/>
          <w:szCs w:val="28"/>
        </w:rPr>
        <w:t xml:space="preserve">8. Acceptance Criteria</w:t>
      </w:r>
    </w:p>
    <w:p>
      <w:pPr>
        <w:pStyle w:val="ListParagraph"/>
        <w:numPr>
          <w:ilvl w:val="0"/>
          <w:numId w:val="2"/>
        </w:numPr>
        <w:spacing w:after="80"/>
      </w:pPr>
      <w:r>
        <w:rPr>
          <w:rFonts w:ascii="Calibri" w:cs="Calibri" w:eastAsia="Calibri" w:hAnsi="Calibri"/>
          <w:b/>
          <w:bCs/>
          <w:color w:val="222222"/>
          <w:sz w:val="20"/>
          <w:szCs w:val="20"/>
        </w:rPr>
        <w:t xml:space="preserve">Ingestion: </w:t>
      </w:r>
      <w:r>
        <w:rPr>
          <w:rFonts w:ascii="Calibri" w:cs="Calibri" w:eastAsia="Calibri" w:hAnsi="Calibri"/>
          <w:color w:val="222222"/>
          <w:sz w:val="20"/>
          <w:szCs w:val="20"/>
        </w:rPr>
        <w:t xml:space="preserve">Ingesting the 5 sample company files must succeed with 0 errors.</w:t>
      </w:r>
    </w:p>
    <w:p>
      <w:pPr>
        <w:pStyle w:val="ListParagraph"/>
        <w:numPr>
          <w:ilvl w:val="0"/>
          <w:numId w:val="2"/>
        </w:numPr>
        <w:spacing w:after="80"/>
      </w:pPr>
      <w:r>
        <w:rPr>
          <w:rFonts w:ascii="Calibri" w:cs="Calibri" w:eastAsia="Calibri" w:hAnsi="Calibri"/>
          <w:b/>
          <w:bCs/>
          <w:color w:val="222222"/>
          <w:sz w:val="20"/>
          <w:szCs w:val="20"/>
        </w:rPr>
        <w:t xml:space="preserve">Deduplication: </w:t>
      </w:r>
      <w:r>
        <w:rPr>
          <w:rFonts w:ascii="Calibri" w:cs="Calibri" w:eastAsia="Calibri" w:hAnsi="Calibri"/>
          <w:color w:val="222222"/>
          <w:sz w:val="20"/>
          <w:szCs w:val="20"/>
        </w:rPr>
        <w:t xml:space="preserve">Running the ingestion twice in a row must yield 0 new insertions on the second run.</w:t>
      </w:r>
    </w:p>
    <w:p>
      <w:pPr>
        <w:pStyle w:val="ListParagraph"/>
        <w:numPr>
          <w:ilvl w:val="0"/>
          <w:numId w:val="2"/>
        </w:numPr>
        <w:spacing w:after="80"/>
      </w:pPr>
      <w:r>
        <w:rPr>
          <w:rFonts w:ascii="Calibri" w:cs="Calibri" w:eastAsia="Calibri" w:hAnsi="Calibri"/>
          <w:b/>
          <w:bCs/>
          <w:color w:val="222222"/>
          <w:sz w:val="20"/>
          <w:szCs w:val="20"/>
        </w:rPr>
        <w:t xml:space="preserve">Fuzzy Match: </w:t>
      </w:r>
      <w:r>
        <w:rPr>
          <w:rFonts w:ascii="Calibri" w:cs="Calibri" w:eastAsia="Calibri" w:hAnsi="Calibri"/>
          <w:color w:val="222222"/>
          <w:sz w:val="20"/>
          <w:szCs w:val="20"/>
        </w:rPr>
        <w:t xml:space="preserve">Spellings like </w:t>
      </w:r>
      <w:r>
        <w:rPr>
          <w:rFonts w:ascii="Consolas" w:cs="Consolas" w:eastAsia="Consolas" w:hAnsi="Consolas"/>
          <w:color w:val="A6353A"/>
          <w:sz w:val="18"/>
          <w:szCs w:val="18"/>
          <w:shd w:fill="F5EDEE" w:val="clear"/>
        </w:rPr>
        <w:t xml:space="preserve">"aemoglobin"</w:t>
      </w:r>
      <w:r>
        <w:rPr>
          <w:rFonts w:ascii="Calibri" w:cs="Calibri" w:eastAsia="Calibri" w:hAnsi="Calibri"/>
          <w:color w:val="222222"/>
          <w:sz w:val="20"/>
          <w:szCs w:val="20"/>
        </w:rPr>
        <w:t xml:space="preserve"> and </w:t>
      </w:r>
      <w:r>
        <w:rPr>
          <w:rFonts w:ascii="Consolas" w:cs="Consolas" w:eastAsia="Consolas" w:hAnsi="Consolas"/>
          <w:color w:val="A6353A"/>
          <w:sz w:val="18"/>
          <w:szCs w:val="18"/>
          <w:shd w:fill="F5EDEE" w:val="clear"/>
        </w:rPr>
        <w:t xml:space="preserve">"tal WBC Count"</w:t>
      </w:r>
      <w:r>
        <w:rPr>
          <w:rFonts w:ascii="Calibri" w:cs="Calibri" w:eastAsia="Calibri" w:hAnsi="Calibri"/>
          <w:color w:val="222222"/>
          <w:sz w:val="20"/>
          <w:szCs w:val="20"/>
        </w:rPr>
        <w:t xml:space="preserve"> must correctly map to HAEMOGLOBIN and WHITE BLOOD CELL COUNT with a confidence score.</w:t>
      </w:r>
    </w:p>
    <w:p>
      <w:pPr>
        <w:pStyle w:val="ListParagraph"/>
        <w:numPr>
          <w:ilvl w:val="0"/>
          <w:numId w:val="2"/>
        </w:numPr>
        <w:spacing w:after="80"/>
      </w:pPr>
      <w:r>
        <w:rPr>
          <w:rFonts w:ascii="Calibri" w:cs="Calibri" w:eastAsia="Calibri" w:hAnsi="Calibri"/>
          <w:b/>
          <w:bCs/>
          <w:color w:val="222222"/>
          <w:sz w:val="20"/>
          <w:szCs w:val="20"/>
        </w:rPr>
        <w:t xml:space="preserve">Dashboard: </w:t>
      </w:r>
      <w:r>
        <w:rPr>
          <w:rFonts w:ascii="Calibri" w:cs="Calibri" w:eastAsia="Calibri" w:hAnsi="Calibri"/>
          <w:color w:val="222222"/>
          <w:sz w:val="20"/>
          <w:szCs w:val="20"/>
        </w:rPr>
        <w:t xml:space="preserve">The KPI cards and graphs must dynamically update immediately after a pipeline run completes.</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2026-07-18T08:48:53.493Z</dcterms:created>
  <dcterms:modified xsi:type="dcterms:W3CDTF">2026-07-18T08:48:53.495Z</dcterms:modified>
</cp:coreProperties>
</file>

<file path=docProps/custom.xml><?xml version="1.0" encoding="utf-8"?>
<Properties xmlns="http://schemas.openxmlformats.org/officeDocument/2006/custom-properties" xmlns:vt="http://schemas.openxmlformats.org/officeDocument/2006/docPropsVTypes"/>
</file>