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{{MEETING_SUMMARY}}</w:t>
      </w:r>
    </w:p>
    <w:p w:rsidR="00AE4E83" w:rsidRPr="00AE4E83" w:rsidRDefault="00AE4E83" w:rsidP="00AE4E83">
      <w:pPr>
        <w:rPr>
          <w:highlight w:val="yellow"/>
        </w:rPr>
      </w:pPr>
      <w:r w:rsidRPr="00AE4E83">
        <w:rPr>
          <w:highlight w:val="yellow"/>
        </w:rPr>
        <w:t>{{MEETING_SUMMARY}}.</w:t>
      </w:r>
    </w:p>
    <w:p w:rsidR="00AE4E83" w:rsidRDefault="00AE4E83" w:rsidP="00AE4E83">
      <w:r w:rsidRPr="00AE4E83">
        <w:rPr>
          <w:highlight w:val="yellow"/>
        </w:rPr>
        <w:t>{{CLIENT_INSIGHT}}</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7/1{{CURRENCY_AMOUNT}}</w:t>
      </w:r>
      <w:r>
        <w:t xml:space="preserve"> (</w:t>
      </w:r>
      <w:r w:rsidRPr="00004E49">
        <w:rPr>
          <w:highlight w:val="cyan"/>
        </w:rPr>
        <w:t>equivalent to investing 61% - 70% equity, with the remainder in defensive assets, such as bonds and cash). As things stand, you are currently invested 53% equity and 47%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{{INVESTMENT_DETAIL}}</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{{CLIENT_PARAGRAPH}}</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{{CLIENT_ADVICE}}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{{CLIENT_PARAGRAPH}}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{{CLIENT_PARAGRAPH}}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{{CLIENT_ADVICE}} Each account will increase the investment risk by approximately 1{{CURRENCY_AMOUNT}}%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{{CLIENT_PARAGRAPH}}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{{RISK_STATEMENT}}</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{{RISK_STATEMENT}} If investments increase in value during this time, you may {{CUSTOMER_NAME}}.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{{CLIENT_PARAGRAPH}}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{{CLIENT_PARAGRAPH}} For details on the charges, you have paid over the review period, please refer to these documents. A copy is available on request.</w:t>
      </w:r>
    </w:p>
    <w:p w:rsidR="00450C9E" w:rsidRDefault="00000000" w:rsidP="00450C9E">
      <w:r>
        <w:t>{{CLIENT_PARAGRAPH}} {{CLIENT_PARAGRAPH}}</w:t>
      </w:r>
      <w:r>
        <w:rPr>
          <w:vertAlign w:val="superscript"/>
        </w:rPr>
      </w:r>
      <w:r>
        <w:t xml:space="preserve"> It assumes that:</w:t>
      </w:r>
    </w:p>
    <w:p w:rsidR="00450C9E" w:rsidRPr="00450C9E" w:rsidRDefault="00450C9E" w:rsidP="00450C9E">
      <w:pPr>
        <w:pStyle w:val="ListParagraph"/>
        <w:numPr>
          <w:ilvl w:val="0"/>
          <w:numId w:val="10"/>
        </w:numPr>
        <w:rPr>
          <w:highlight w:val="yellow"/>
        </w:rPr>
      </w:pPr>
      <w:r w:rsidRPr="00450C9E">
        <w:rPr>
          <w:highlight w:val="yellow"/>
        </w:rPr>
        <w:t>{{CLIENT_PARAGRAPH}}</w:t>
      </w:r>
    </w:p>
    <w:p w:rsidR="00450C9E" w:rsidRPr="00450C9E" w:rsidRDefault="00450C9E" w:rsidP="00450C9E">
      <w:pPr>
        <w:pStyle w:val="ListParagraph"/>
        <w:numPr>
          <w:ilvl w:val="0"/>
          <w:numId w:val="10"/>
        </w:numPr>
        <w:rPr>
          <w:highlight w:val="yellow"/>
        </w:rPr>
      </w:pPr>
      <w:r w:rsidRPr="00450C9E">
        <w:rPr>
          <w:highlight w:val="yellow"/>
        </w:rPr>
        <w:t>{{CLIENT_PARAGRAPH}}</w:t>
      </w:r>
    </w:p>
    <w:p w:rsidR="00450C9E" w:rsidRPr="00450C9E" w:rsidRDefault="00450C9E" w:rsidP="00450C9E">
      <w:pPr>
        <w:pStyle w:val="ListParagraph"/>
        <w:numPr>
          <w:ilvl w:val="0"/>
          <w:numId w:val="10"/>
        </w:numPr>
        <w:rPr>
          <w:highlight w:val="yellow"/>
        </w:rPr>
      </w:pPr>
      <w:r w:rsidRPr="00450C9E">
        <w:rPr>
          <w:highlight w:val="yellow"/>
        </w:rPr>
        <w:t>{{CLIENT_PARAGRAPH}}</w:t>
      </w:r>
    </w:p>
    <w:p w:rsidR="007F4AE5" w:rsidRDefault="00000000" w:rsidP="00450C9E">
      <w:r>
        <w:t>{{CLIENT_PARAGRAPH}}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 xml:space="preserve">Combined together, total charges are expected to be </w:t>
      </w:r>
      <w:r w:rsidRPr="000803A0">
        <w:rPr>
          <w:highlight w:val="yellow"/>
        </w:rPr>
        <w:t>{{CURRENCY}}</w:t>
      </w:r>
      <w:r w:rsidR="000803A0" w:rsidRPr="000803A0">
        <w:rPr>
          <w:highlight w:val="yellow"/>
        </w:rPr>
      </w:r>
      <w:r w:rsidRPr="000803A0">
        <w:rPr>
          <w:highlight w:val="yellow"/>
        </w:rPr>
      </w:r>
      <w:r w:rsidR="000803A0" w:rsidRPr="000803A0">
        <w:rPr>
          <w:highlight w:val="yellow"/>
        </w:rPr>
      </w:r>
      <w:r w:rsidRPr="000803A0">
        <w:rPr>
          <w:highlight w:val="yellow"/>
        </w:rPr>
      </w:r>
      <w:r>
        <w:t xml:space="preserve"> (equivalent to </w:t>
      </w:r>
      <w:r w:rsidRPr="000803A0">
        <w:rPr>
          <w:highlight w:val="yellow"/>
        </w:rPr>
        <w:t>1{{PERCENTAGE}}</w:t>
      </w:r>
      <w:r w:rsidR="000803A0" w:rsidRPr="000803A0">
        <w:rPr>
          <w:highlight w:val="yellow"/>
        </w:rPr>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{{CURRENCY_AMOUNT}}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{{CLIENT_PARAGRAPH}} {{CLIENT_PARAGRAPH}}</w:t>
      </w:r>
    </w:p>
    <w:p w:rsidR="007F4AE5" w:rsidRDefault="00000000">
      <w:r>
        <w:t xml:space="preserve">{{CLIENT_PARAGRAPH}}  This may be subject to change in the future. </w:t>
      </w:r>
    </w:p>
    <w:p w:rsidR="007F4AE5" w:rsidRDefault="00000000">
      <w:r>
        <w:t>{{CLIENT_PARAGRAPH}} These are not guaranteed and will fluctuate in value.</w:t>
      </w:r>
    </w:p>
    <w:p w:rsidR="007F4AE5" w:rsidRDefault="00000000">
      <w:pPr>
        <w:pStyle w:val="Title"/>
      </w:pPr>
      <w:r>
        <w:t>Client Classification</w:t>
      </w:r>
    </w:p>
    <w:p w:rsidR="007F4AE5" w:rsidRDefault="00000000">
      <w:r>
        <w:t>{{CLIENT_PARAGRAPH}}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{{CLIENT_PARAGRAPH}} {{CLIENT_PARAGRAPH}}</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{{CLIENT_PARAGRAPH}}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{{CUSTOMER_NAME}}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