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{{DATE}}</w:t>
      </w:r>
      <w:r w:rsidRPr="00A762CA">
        <w:rPr>
          <w:sz w:val="28"/>
          <w:szCs w:val="28"/>
          <w:highlight w:val="yellow"/>
          <w:vertAlign w:val="superscript"/>
        </w:rPr>
      </w:r>
      <w:r w:rsidRPr="00A762CA">
        <w:rPr>
          <w:sz w:val="28"/>
          <w:szCs w:val="28"/>
          <w:highlight w:val="yellow"/>
        </w:rPr>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{{DATE}}</w:t>
      </w:r>
      <w:r w:rsidR="00A762CA" w:rsidRPr="00A762CA">
        <w:rPr>
          <w:highlight w:val="yellow"/>
          <w:vertAlign w:val="superscript"/>
        </w:rPr>
      </w:r>
      <w:r w:rsidR="00A762CA" w:rsidRPr="00A762CA">
        <w:rPr>
          <w:highlight w:val="yellow"/>
        </w:rPr>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p>
    <w:p w:rsidR="00AE4E83" w:rsidRPr="00AE4E83" w:rsidRDefault="00AE4E83" w:rsidP="00AE4E83">
      <w:pPr>
        <w:rPr>
          <w:highlight w:val="yellow"/>
        </w:rPr>
      </w:pPr>
      <w:r w:rsidRPr="00AE4E83">
        <w:rPr>
          <w:highlight w:val="yellow"/>
        </w:rPr>
        <w:t>This is your sixth annual review meeting after engaging Frazer James to arrange Kevin &amp; Melissa’s pension and investment assets with Parmenion in March {{CURRENCY_AMOUNT}}7. Our review meetings have taken place each year since then, with our last meeting taking place 11 months ago in Sep {{PHONE_NUMBER}}.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7/{{PERCENTAGE}}</w:t>
      </w:r>
      <w:r>
        <w:t xml:space="preserve"> (</w:t>
      </w:r>
      <w:r w:rsidRPr="00004E49">
        <w:rPr>
          <w:highlight w:val="cyan"/>
        </w:rPr>
        <w:t>equivalent to investing {{PERCENTAGE}} - {{PERCENTAGE}} equity, with the remainder in defensive assets, such as bonds and cash). As things stand, you are currently invested {{PERCENTAGE}} equity and {{PERCENTAGE}} bonds/cash, equivalent to investing at risk score 6/1{{CURRENCY_AMOUNT}}</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{{PERCENTAGE}}</w:t>
      </w:r>
      <w:r>
        <w:t xml:space="preserve"> equity overall, an increase of </w:t>
      </w:r>
      <w:r w:rsidRPr="00004E49">
        <w:rPr>
          <w:highlight w:val="cyan"/>
        </w:rPr>
        <w:t>{{PERCENTAGE}}</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{{PERCENTAGE}}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During the transition period when your risk profile is being adjusted, there might be a brief period when your account remains uninvested.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Some of your accounts may involve higher investment risk than before, causing them to experience more significant fluctuations in value.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Conversely, other accounts may involve lower investment risk, resulting in a more stable but potentially lower overall 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Your investments include overseas assets, and any fluctuations in exchange rates can impact the value of your investments.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Given that you are invested in emerging markets, these investments are considered higher risk compared to more conventional options.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Since you are invested with a Discretionary Fund Manager, you won't be consulted on any changes made to your investments; they will be managed on your behalf.</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Parmenion is a platform designed for advised clients. If you choose to take a do-it-yourself approach later, you may have limited access to your investments. To gain complete control over your investments, you might need to transfer to a different provider.</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Funds held within your ISA will be considered part of your estate for inheritance tax purposes.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{{DATE}}</w:t>
      </w:r>
      <w:r>
        <w:rPr>
          <w:vertAlign w:val="superscript"/>
        </w:rPr>
      </w:r>
      <w:r>
        <w:t>,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I will contact you in{{DATE}}</w:t>
      </w:r>
      <w:r w:rsidR="00450C9E" w:rsidRPr="00450C9E">
        <w:rPr>
          <w:b w:val="0"/>
          <w:sz w:val="20"/>
          <w:szCs w:val="20"/>
          <w:highlight w:val="yellow"/>
        </w:rPr>
      </w:r>
      <w:r w:rsidRPr="00450C9E">
        <w:rPr>
          <w:b w:val="0"/>
          <w:sz w:val="20"/>
          <w:szCs w:val="20"/>
          <w:highlight w:val="yellow"/>
        </w:rPr>
        <w:t>4</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{{PERCENTAGE}}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{{PERCENTAGE}}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