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{{ADVISOR_NAME}}</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w:t>
      </w:r>
    </w:p>
    <w:p w:rsidR="00AE4E83" w:rsidRDefault="00AE4E83" w:rsidP="00AE4E83">
      <w:r w:rsidRPr="00AE4E83">
        <w:rPr>
          <w:highlight w:val="yellow"/>
        </w:rPr>
        <w:t>{{CLIENT_WELLBEING_PARAGRAPH}}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{{RISK_PROFILE_ANALYSIS}}</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{{TABLE_INTRO_TEXT}}</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{{OBJECTIVE_1}}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{{OBJECTIVE_2}}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{{OBJECTIVE_3}}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{{VALUATION_SUMMARY_INTRO}}</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{{VALUATION_HEADER_1}}</w:t>
      </w:r>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Kevin’{{VALUATION_HEADER_1}}</w:t>
      </w:r>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{{PROVIDER_SUITABILITY_INTRO}}</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{{PAYMENT_STATUS}} </w:t>
      </w:r>
    </w:p>
    <w:p w:rsidR="007F4AE5" w:rsidRDefault="00000000">
      <w:pPr>
        <w:pStyle w:val="Title"/>
      </w:pPr>
      <w:r>
        <w:t>Strategy</w:t>
      </w:r>
    </w:p>
    <w:p w:rsidR="007F4AE5" w:rsidRDefault="00000000">
      <w:r>
        <w:t>{{STRATEGY_SUITABILITY_INTRO}}</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{{COST_SUITABILITY_INTRO}}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{{RISK_CHANGE_DETAIL}} For further information, please refer to the below documents. {{REBALANCE_NOTE}}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{{COST_IMPACT_PARAGRAPH}}</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{{FINAL_SUITABILITY_CONCLUSION}}</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{{CHARGES_RISK_PARAGRAPH}}</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{{TRANSITION_RISK_PARAGRAPH}} {{RISK_WARNING_MISSED_GAINS}}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{{RISK_WARNING_HIGHER_RISK}}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{{RISK_WARNING_LOWER_RISK}}</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{{RISK_WARNING_OVERSEAS}}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{{RISK_WARNING_EMERGING_MARKETS}}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{{DFM_DISCLOSURE}}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{{DRAWDOWN_COST_WARNING}}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{{ISA_IHT_WARNING}}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2{{CURRENCY_AMOUNT}}23,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r w:rsidRPr="000803A0">
        <w:rPr>
          <w:color w:val="000080"/>
          <w:highlight w:val="cyan"/>
          <w:u w:val="single"/>
        </w:rPr>
      </w:r>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{{ADVICE_BASIS_DISCLAIMER}}</w:t>
      </w:r>
    </w:p>
    <w:p w:rsidR="007F4AE5" w:rsidRDefault="00000000">
      <w:r>
        <w:t xml:space="preserve">{{TAX_DISCLAIMER}} </w:t>
      </w:r>
    </w:p>
    <w:p w:rsidR="007F4AE5" w:rsidRDefault="00000000">
      <w:r>
        <w:t>{{VALUATION_SOURCE_DISCLAIMER}}</w:t>
      </w:r>
    </w:p>
    <w:p w:rsidR="007F4AE5" w:rsidRDefault="00000000">
      <w:pPr>
        <w:pStyle w:val="Title"/>
      </w:pPr>
      <w:r>
        <w:t>Client Classification</w:t>
      </w:r>
    </w:p>
    <w:p w:rsidR="007F4AE5" w:rsidRDefault="00000000">
      <w:r>
        <w:t>{{CLIENT_CLASSIFICATION}}</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{{ONGOING_SERVICE_REVIEW}}</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