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老年性心脏瓣膜病的流行病学研究及治疗进展</w:t>
      </w:r>
    </w:p>
    <w:p>
      <w:pPr>
        <w:pStyle w:val="Author"/>
        <w:rPr/>
      </w:pPr>
      <w:r>
        <w:rPr/>
        <w:t>谢祯晖综述，陈长源审校</w:t>
      </w:r>
    </w:p>
    <w:p>
      <w:pPr>
        <w:pStyle w:val="Abstract"/>
        <w:rPr/>
      </w:pPr>
      <w:r>
        <w:rPr>
          <w:b/>
          <w:bCs/>
        </w:rPr>
        <w:t>摘要</w:t>
      </w:r>
      <w:r>
        <w:rPr/>
        <w:t xml:space="preserve"> 近 </w:t>
      </w:r>
      <w:r>
        <w:rPr/>
        <w:t xml:space="preserve">20 </w:t>
      </w:r>
      <w:r>
        <w:rPr/>
        <w:t xml:space="preserve">年来，随着中国人群平均寿命逐渐延长，老年人群（年龄 </w:t>
      </w:r>
      <w:r>
        <w:rPr/>
        <w:t xml:space="preserve">&gt; 65 </w:t>
      </w:r>
      <w:r>
        <w:rPr/>
        <w:t>岁）中心脏瓣膜病发病率、死亡率与致残率不断升高，老年性心脏瓣膜病已逐渐成为一项全球性的公共卫生问题。鉴于现今心脏瓣膜病分型的流行病学分布较前出现明显变化及心脏瓣膜病的治疗进展，本文对老年性心脏瓣膜病的流行病学调查与治疗等研究进展作一综述。</w:t>
      </w:r>
      <w:r>
        <w:rPr/>
        <w:br/>
      </w:r>
      <w:r>
        <w:rPr>
          <w:b/>
          <w:bCs/>
        </w:rPr>
        <w:t>关键词</w:t>
      </w:r>
      <w:r>
        <w:rPr/>
        <w:t xml:space="preserve"> 心脏瓣膜病；流行病学；治疗；进展</w:t>
      </w:r>
    </w:p>
    <w:p>
      <w:pPr>
        <w:pStyle w:val="FirstParagraph"/>
        <w:rPr/>
      </w:pPr>
      <w:r>
        <w:rPr/>
        <w:t xml:space="preserve">老年性心脏瓣膜病 </w:t>
      </w:r>
      <w:r>
        <w:rPr/>
        <w:t xml:space="preserve">(valvular heart disease, VHD) </w:t>
      </w:r>
      <w:r>
        <w:rPr/>
        <w:t xml:space="preserve">又称老年退行性 </w:t>
      </w:r>
      <w:r>
        <w:rPr/>
        <w:t>VHD</w:t>
      </w:r>
      <w:r>
        <w:rPr/>
        <w:t xml:space="preserve">，是一种与年龄相关的心脏瓣膜疾病，表现为进行性瓣膜增厚、钙化或硬化，其病因目前仍不明确。年龄是老年性 </w:t>
      </w:r>
      <w:r>
        <w:rPr/>
        <w:t xml:space="preserve">VHD </w:t>
      </w:r>
      <w:r>
        <w:rPr/>
        <w:t xml:space="preserve">的一项独立危险因素；随着年龄的增加，老年性 </w:t>
      </w:r>
      <w:r>
        <w:rPr/>
        <w:t xml:space="preserve">VHD </w:t>
      </w:r>
      <w:r>
        <w:rPr/>
        <w:t>的患病率显著上升</w:t>
      </w:r>
      <w:r>
        <w:rPr>
          <w:vertAlign w:val="superscript"/>
        </w:rPr>
        <w:t>[1]</w:t>
      </w:r>
      <w:r>
        <w:rPr/>
        <w:t xml:space="preserve">。近 </w:t>
      </w:r>
      <w:r>
        <w:rPr/>
        <w:t xml:space="preserve">20 </w:t>
      </w:r>
      <w:r>
        <w:rPr/>
        <w:t xml:space="preserve">年来，老年 </w:t>
      </w:r>
      <w:r>
        <w:rPr/>
        <w:t>(</w:t>
      </w:r>
      <w:r>
        <w:rPr/>
        <w:t xml:space="preserve">年龄 </w:t>
      </w:r>
      <w:r>
        <w:rPr/>
        <w:t xml:space="preserve">&gt; 65 </w:t>
      </w:r>
      <w:r>
        <w:rPr/>
        <w:t>岁</w:t>
      </w:r>
      <w:r>
        <w:rPr/>
        <w:t xml:space="preserve">) </w:t>
      </w:r>
      <w:r>
        <w:rPr/>
        <w:t xml:space="preserve">人群中老年性 </w:t>
      </w:r>
      <w:r>
        <w:rPr/>
        <w:t xml:space="preserve">VHD </w:t>
      </w:r>
      <w:r>
        <w:rPr/>
        <w:t>发病率、死亡率与致残率不断升高</w:t>
      </w:r>
      <w:r>
        <w:rPr>
          <w:vertAlign w:val="superscript"/>
        </w:rPr>
        <w:t>[2]</w:t>
      </w:r>
      <w:r>
        <w:rPr/>
        <w:t xml:space="preserve">。随着人群平均寿命逐渐延长，老年性 </w:t>
      </w:r>
      <w:r>
        <w:rPr/>
        <w:t xml:space="preserve">VHD </w:t>
      </w:r>
      <w:r>
        <w:rPr/>
        <w:t>已逐渐成为一项全球性的公共卫生问题。有研究显示，</w:t>
      </w:r>
      <w:r>
        <w:rPr/>
        <w:t xml:space="preserve">2046 </w:t>
      </w:r>
      <w:r>
        <w:rPr/>
        <w:t xml:space="preserve">年，英国老年性 </w:t>
      </w:r>
      <w:r>
        <w:rPr/>
        <w:t xml:space="preserve">VHD </w:t>
      </w:r>
      <w:r>
        <w:rPr/>
        <w:t xml:space="preserve">患病人数将可能由 </w:t>
      </w:r>
      <w:r>
        <w:rPr/>
        <w:t xml:space="preserve">2015 </w:t>
      </w:r>
      <w:r>
        <w:rPr/>
        <w:t xml:space="preserve">年的 </w:t>
      </w:r>
      <w:r>
        <w:rPr/>
        <w:t xml:space="preserve">150 </w:t>
      </w:r>
      <w:r>
        <w:rPr/>
        <w:t xml:space="preserve">万人增至 </w:t>
      </w:r>
      <w:r>
        <w:rPr/>
        <w:t xml:space="preserve">330 </w:t>
      </w:r>
      <w:r>
        <w:rPr/>
        <w:t>万人，出现倍数性增长</w:t>
      </w:r>
      <w:r>
        <w:rPr>
          <w:vertAlign w:val="superscript"/>
        </w:rPr>
        <w:t>[3]</w:t>
      </w:r>
      <w:r>
        <w:rPr/>
        <w:t xml:space="preserve">。我国目前 </w:t>
      </w:r>
      <w:r>
        <w:rPr/>
        <w:t xml:space="preserve">VHD </w:t>
      </w:r>
      <w:r>
        <w:rPr/>
        <w:t xml:space="preserve">的主要病因也逐渐由风湿性 </w:t>
      </w:r>
      <w:r>
        <w:rPr/>
        <w:t xml:space="preserve">VHD </w:t>
      </w:r>
      <w:r>
        <w:rPr/>
        <w:t xml:space="preserve">过渡到老年性 </w:t>
      </w:r>
      <w:r>
        <w:rPr/>
        <w:t>VHD</w:t>
      </w:r>
      <w:r>
        <w:rPr>
          <w:vertAlign w:val="superscript"/>
        </w:rPr>
        <w:t>[4]</w:t>
      </w:r>
      <w:r>
        <w:rPr/>
        <w:t xml:space="preserve">。鉴于现今 </w:t>
      </w:r>
      <w:r>
        <w:rPr/>
        <w:t xml:space="preserve">VHD </w:t>
      </w:r>
      <w:r>
        <w:rPr/>
        <w:t xml:space="preserve">分型的流行病学分布较前出现明显变化及 </w:t>
      </w:r>
      <w:r>
        <w:rPr/>
        <w:t xml:space="preserve">VHD </w:t>
      </w:r>
      <w:r>
        <w:rPr/>
        <w:t xml:space="preserve">的治疗进展，本文对老年性 </w:t>
      </w:r>
      <w:r>
        <w:rPr/>
        <w:t xml:space="preserve">VHD </w:t>
      </w:r>
      <w:r>
        <w:rPr/>
        <w:t>的流行病学调查与治疗等研究进展作一综述。</w:t>
      </w:r>
    </w:p>
    <w:p>
      <w:pPr>
        <w:pStyle w:val="Heading1"/>
        <w:ind w:left="0" w:right="0" w:hanging="0"/>
        <w:rPr/>
      </w:pPr>
      <w:r>
        <w:rPr/>
        <w:t xml:space="preserve">老年性 </w:t>
      </w:r>
      <w:r>
        <w:rPr/>
        <w:t xml:space="preserve">VHD </w:t>
      </w:r>
      <w:r>
        <w:rPr/>
        <w:t>的发病率、患病率与死亡率的流行病学变化</w:t>
      </w:r>
    </w:p>
    <w:p>
      <w:pPr>
        <w:pStyle w:val="FirstParagraph"/>
        <w:rPr/>
      </w:pPr>
      <w:r>
        <w:rPr/>
        <w:t xml:space="preserve">研究显示，近年来老年性 </w:t>
      </w:r>
      <w:r>
        <w:rPr/>
        <w:t xml:space="preserve">VHD </w:t>
      </w:r>
      <w:r>
        <w:rPr/>
        <w:t>的患病率逐渐上升。</w:t>
      </w:r>
      <w:r>
        <w:rPr/>
        <w:t xml:space="preserve">Nkomo </w:t>
      </w:r>
      <w:r>
        <w:rPr/>
        <w:t>等</w:t>
      </w:r>
      <w:r>
        <w:rPr>
          <w:vertAlign w:val="superscript"/>
        </w:rPr>
        <w:t>[1]</w:t>
      </w:r>
      <w:r>
        <w:rPr/>
        <w:t xml:space="preserve">通过对 </w:t>
      </w:r>
      <w:r>
        <w:rPr/>
        <w:t xml:space="preserve">1985 - 1996 </w:t>
      </w:r>
      <w:r>
        <w:rPr/>
        <w:t xml:space="preserve">三项美国大规模人群研究的数据进行分析发现，经过年龄等基线因素调整后，中、重度 </w:t>
      </w:r>
      <w:r>
        <w:rPr/>
        <w:t xml:space="preserve">VHD </w:t>
      </w:r>
      <w:r>
        <w:rPr/>
        <w:t xml:space="preserve">的患病率约为 </w:t>
      </w:r>
      <w:r>
        <w:rPr/>
        <w:t>2.5%</w:t>
      </w:r>
      <w:r>
        <w:rPr/>
        <w:t>；随着年龄的增加，</w:t>
      </w:r>
      <w:r>
        <w:rPr/>
        <w:t xml:space="preserve">VHD </w:t>
      </w:r>
      <w:r>
        <w:rPr/>
        <w:t xml:space="preserve">患病率显著升高，老年人群尤其是 </w:t>
      </w:r>
      <w:r>
        <w:rPr/>
        <w:t xml:space="preserve">75 </w:t>
      </w:r>
      <w:r>
        <w:rPr/>
        <w:t xml:space="preserve">岁以上高龄人群 </w:t>
      </w:r>
      <w:r>
        <w:rPr/>
        <w:t xml:space="preserve">VHD </w:t>
      </w:r>
      <w:r>
        <w:rPr/>
        <w:t xml:space="preserve">患病率可达 </w:t>
      </w:r>
      <w:r>
        <w:rPr/>
        <w:t>13.2%</w:t>
      </w:r>
      <w:r>
        <w:rPr/>
        <w:t xml:space="preserve">，提示老年性 </w:t>
      </w:r>
      <w:r>
        <w:rPr/>
        <w:t xml:space="preserve">VHD </w:t>
      </w:r>
      <w:r>
        <w:rPr/>
        <w:t xml:space="preserve">为美国老年人群中 </w:t>
      </w:r>
      <w:r>
        <w:rPr/>
        <w:t xml:space="preserve">VHD </w:t>
      </w:r>
      <w:r>
        <w:rPr/>
        <w:t>的主要病因。</w:t>
      </w:r>
    </w:p>
    <w:p>
      <w:pPr>
        <w:pStyle w:val="TextBody"/>
        <w:rPr/>
      </w:pPr>
      <w:r>
        <w:rPr/>
        <w:t xml:space="preserve">随着全球人口老龄化加剧，老年性 </w:t>
      </w:r>
      <w:r>
        <w:rPr/>
        <w:t xml:space="preserve">VHD </w:t>
      </w:r>
      <w:r>
        <w:rPr/>
        <w:t xml:space="preserve">的发病率与死亡率也在逐年上升。瑞典 </w:t>
      </w:r>
      <w:r>
        <w:rPr/>
        <w:t xml:space="preserve">Andell </w:t>
      </w:r>
      <w:r>
        <w:rPr/>
        <w:t>等</w:t>
      </w:r>
      <w:r>
        <w:rPr>
          <w:vertAlign w:val="superscript"/>
        </w:rPr>
        <w:t>[5]</w:t>
      </w:r>
      <w:r>
        <w:rPr/>
        <w:t xml:space="preserve">于 </w:t>
      </w:r>
      <w:r>
        <w:rPr/>
        <w:t xml:space="preserve">2003 - 2010 </w:t>
      </w:r>
      <w:r>
        <w:rPr/>
        <w:t xml:space="preserve">年进行的全国性回顾性研究显示，瑞典老年性 </w:t>
      </w:r>
      <w:r>
        <w:rPr/>
        <w:t xml:space="preserve">VHD </w:t>
      </w:r>
      <w:r>
        <w:rPr/>
        <w:t xml:space="preserve">的发病率约为 </w:t>
      </w:r>
      <w:r>
        <w:rPr/>
        <w:t xml:space="preserve">0.6 </w:t>
      </w:r>
      <w:r>
        <w:rPr/>
        <w:t xml:space="preserve">每 </w:t>
      </w:r>
      <w:r>
        <w:rPr/>
        <w:t xml:space="preserve">1000 </w:t>
      </w:r>
      <w:r>
        <w:rPr/>
        <w:t xml:space="preserve">人年；其中老年人群受影响较大，男性和女性的老年性 </w:t>
      </w:r>
      <w:r>
        <w:rPr/>
        <w:t xml:space="preserve">VHD </w:t>
      </w:r>
      <w:r>
        <w:rPr/>
        <w:t xml:space="preserve">发病年龄中位数分别为 </w:t>
      </w:r>
      <w:r>
        <w:rPr/>
        <w:t xml:space="preserve">70 </w:t>
      </w:r>
      <w:r>
        <w:rPr/>
        <w:t xml:space="preserve">岁和 </w:t>
      </w:r>
      <w:r>
        <w:rPr/>
        <w:t xml:space="preserve">76 </w:t>
      </w:r>
      <w:r>
        <w:rPr/>
        <w:t>岁。</w:t>
      </w:r>
      <w:r>
        <w:rPr/>
        <w:t xml:space="preserve">2017 </w:t>
      </w:r>
      <w:r>
        <w:rPr/>
        <w:t>年全球疾病负担研究</w:t>
      </w:r>
      <w:r>
        <w:rPr>
          <w:vertAlign w:val="superscript"/>
        </w:rPr>
        <w:t>[2]</w:t>
      </w:r>
      <w:r>
        <w:rPr/>
        <w:t xml:space="preserve">对 </w:t>
      </w:r>
      <w:r>
        <w:rPr/>
        <w:t xml:space="preserve">195 </w:t>
      </w:r>
      <w:r>
        <w:rPr/>
        <w:t xml:space="preserve">个国家和地区的人口统计资料、流行病学数据和医院数据进行了分析，结果显示，近 </w:t>
      </w:r>
      <w:r>
        <w:rPr/>
        <w:t xml:space="preserve">30 </w:t>
      </w:r>
      <w:r>
        <w:rPr/>
        <w:t xml:space="preserve">年以来全球风湿性 </w:t>
      </w:r>
      <w:r>
        <w:rPr/>
        <w:t xml:space="preserve">VHD </w:t>
      </w:r>
      <w:r>
        <w:rPr/>
        <w:t>患者的发病率与死亡率呈下降趋势，而老年退行性瓣膜病呈上升趋势。</w:t>
      </w:r>
      <w:r>
        <w:rPr/>
        <w:t xml:space="preserve">2017 </w:t>
      </w:r>
      <w:r>
        <w:rPr/>
        <w:t xml:space="preserve">年全球老年性 </w:t>
      </w:r>
      <w:r>
        <w:rPr/>
        <w:t xml:space="preserve">VHD </w:t>
      </w:r>
      <w:r>
        <w:rPr/>
        <w:t xml:space="preserve">的发病率为 </w:t>
      </w:r>
      <w:r>
        <w:rPr/>
        <w:t xml:space="preserve">401.69 </w:t>
      </w:r>
      <w:r>
        <w:rPr/>
        <w:t xml:space="preserve">每 </w:t>
      </w:r>
      <w:r>
        <w:rPr/>
        <w:t xml:space="preserve">10 </w:t>
      </w:r>
      <w:r>
        <w:rPr/>
        <w:t xml:space="preserve">万人年，而 </w:t>
      </w:r>
      <w:r>
        <w:rPr/>
        <w:t xml:space="preserve">70 </w:t>
      </w:r>
      <w:r>
        <w:rPr/>
        <w:t xml:space="preserve">岁及以上人群中老年性 </w:t>
      </w:r>
      <w:r>
        <w:rPr/>
        <w:t xml:space="preserve">VHD </w:t>
      </w:r>
      <w:r>
        <w:rPr/>
        <w:t xml:space="preserve">的发病率达 </w:t>
      </w:r>
      <w:r>
        <w:rPr/>
        <w:t xml:space="preserve">3667.89 </w:t>
      </w:r>
      <w:r>
        <w:rPr/>
        <w:t xml:space="preserve">每 </w:t>
      </w:r>
      <w:r>
        <w:rPr/>
        <w:t xml:space="preserve">10 </w:t>
      </w:r>
      <w:r>
        <w:rPr/>
        <w:t xml:space="preserve">万人年，与 </w:t>
      </w:r>
      <w:r>
        <w:rPr/>
        <w:t xml:space="preserve">1990 </w:t>
      </w:r>
      <w:r>
        <w:rPr/>
        <w:t xml:space="preserve">年相比增长 </w:t>
      </w:r>
      <w:r>
        <w:rPr/>
        <w:t>9.11%</w:t>
      </w:r>
      <w:r>
        <w:rPr/>
        <w:t xml:space="preserve">；老年性 </w:t>
      </w:r>
      <w:r>
        <w:rPr/>
        <w:t xml:space="preserve">VHD </w:t>
      </w:r>
      <w:r>
        <w:rPr/>
        <w:t xml:space="preserve">的死亡率为 </w:t>
      </w:r>
      <w:r>
        <w:rPr/>
        <w:t xml:space="preserve">25.83 </w:t>
      </w:r>
      <w:r>
        <w:rPr/>
        <w:t xml:space="preserve">每 </w:t>
      </w:r>
      <w:r>
        <w:rPr/>
        <w:t xml:space="preserve">10 </w:t>
      </w:r>
      <w:r>
        <w:rPr/>
        <w:t xml:space="preserve">万人年，较 </w:t>
      </w:r>
      <w:r>
        <w:rPr/>
        <w:t xml:space="preserve">1990 </w:t>
      </w:r>
      <w:r>
        <w:rPr/>
        <w:t xml:space="preserve">年增长 </w:t>
      </w:r>
      <w:r>
        <w:rPr/>
        <w:t>15.44%</w:t>
      </w:r>
      <w:r>
        <w:rPr/>
        <w:t>。</w:t>
      </w:r>
    </w:p>
    <w:p>
      <w:pPr>
        <w:pStyle w:val="TextBody"/>
        <w:rPr/>
      </w:pPr>
      <w:r>
        <w:rPr/>
        <w:t xml:space="preserve">我国缺少老年性 </w:t>
      </w:r>
      <w:r>
        <w:rPr/>
        <w:t xml:space="preserve">VHD </w:t>
      </w:r>
      <w:r>
        <w:rPr/>
        <w:t xml:space="preserve">的大规模流行病学研究，但有回顾性研究同样显示老年性 </w:t>
      </w:r>
      <w:r>
        <w:rPr/>
        <w:t xml:space="preserve">VHD </w:t>
      </w:r>
      <w:r>
        <w:rPr/>
        <w:t>可能存在上升趋势。</w:t>
      </w:r>
      <w:r>
        <w:rPr/>
        <w:t xml:space="preserve">Liu </w:t>
      </w:r>
      <w:r>
        <w:rPr/>
        <w:t>等</w:t>
      </w:r>
      <w:r>
        <w:rPr>
          <w:vertAlign w:val="superscript"/>
        </w:rPr>
        <w:t>[4]</w:t>
      </w:r>
      <w:r>
        <w:rPr/>
        <w:t xml:space="preserve">对广东 </w:t>
      </w:r>
      <w:r>
        <w:rPr/>
        <w:t xml:space="preserve">2009 </w:t>
      </w:r>
      <w:r>
        <w:rPr/>
        <w:t xml:space="preserve">年至 </w:t>
      </w:r>
      <w:r>
        <w:rPr/>
        <w:t xml:space="preserve">2013 </w:t>
      </w:r>
      <w:r>
        <w:rPr/>
        <w:t xml:space="preserve">年 </w:t>
      </w:r>
      <w:r>
        <w:rPr/>
        <w:t xml:space="preserve">VHD </w:t>
      </w:r>
      <w:r>
        <w:rPr/>
        <w:t xml:space="preserve">患者进行的一项单中心回顾性研究显示，自 </w:t>
      </w:r>
      <w:r>
        <w:rPr/>
        <w:t xml:space="preserve">2009 </w:t>
      </w:r>
      <w:r>
        <w:rPr/>
        <w:t xml:space="preserve">至 </w:t>
      </w:r>
      <w:r>
        <w:rPr/>
        <w:t xml:space="preserve">2013 </w:t>
      </w:r>
      <w:r>
        <w:rPr/>
        <w:t xml:space="preserve">年老年性 </w:t>
      </w:r>
      <w:r>
        <w:rPr/>
        <w:t xml:space="preserve">VHD </w:t>
      </w:r>
      <w:r>
        <w:rPr/>
        <w:t xml:space="preserve">占比显著上升，由 </w:t>
      </w:r>
      <w:r>
        <w:rPr/>
        <w:t xml:space="preserve">8.8% </w:t>
      </w:r>
      <w:r>
        <w:rPr/>
        <w:t xml:space="preserve">升至 </w:t>
      </w:r>
      <w:r>
        <w:rPr/>
        <w:t>14.5% (p &lt; 0.001)</w:t>
      </w:r>
      <w:r>
        <w:rPr/>
        <w:t xml:space="preserve">，仅次于风湿性 </w:t>
      </w:r>
      <w:r>
        <w:rPr/>
        <w:t>VHD (32.8%)</w:t>
      </w:r>
      <w:r>
        <w:rPr/>
        <w:t xml:space="preserve">；在 </w:t>
      </w:r>
      <w:r>
        <w:rPr/>
        <w:t xml:space="preserve">65 </w:t>
      </w:r>
      <w:r>
        <w:rPr/>
        <w:t xml:space="preserve">岁以上老年人群中老年性 </w:t>
      </w:r>
      <w:r>
        <w:rPr/>
        <w:t xml:space="preserve">VHD </w:t>
      </w:r>
      <w:r>
        <w:rPr/>
        <w:t xml:space="preserve">显著增长，其占比自 </w:t>
      </w:r>
      <w:r>
        <w:rPr/>
        <w:t xml:space="preserve">28.5% </w:t>
      </w:r>
      <w:r>
        <w:rPr/>
        <w:t xml:space="preserve">上升至 </w:t>
      </w:r>
      <w:r>
        <w:rPr/>
        <w:t>73.2%</w:t>
      </w:r>
      <w:r>
        <w:rPr/>
        <w:t xml:space="preserve">，已成为我国老年人群中 </w:t>
      </w:r>
      <w:r>
        <w:rPr/>
        <w:t xml:space="preserve">VHD </w:t>
      </w:r>
      <w:r>
        <w:rPr/>
        <w:t>最主要的病因。</w:t>
      </w:r>
      <w:bookmarkStart w:id="0" w:name="老年性-vhd-的发病率患病率与死亡率的流行病学变化"/>
      <w:bookmarkEnd w:id="0"/>
    </w:p>
    <w:p>
      <w:pPr>
        <w:pStyle w:val="Heading1"/>
        <w:ind w:left="0" w:right="0" w:hanging="0"/>
        <w:rPr/>
      </w:pPr>
      <w:r>
        <w:rPr/>
        <w:t xml:space="preserve">老年性 </w:t>
      </w:r>
      <w:r>
        <w:rPr/>
        <w:t xml:space="preserve">VHD </w:t>
      </w:r>
      <w:r>
        <w:rPr/>
        <w:t>的病理分型特点</w:t>
      </w:r>
    </w:p>
    <w:p>
      <w:pPr>
        <w:sectPr>
          <w:footerReference w:type="even" r:id="rId2"/>
          <w:footerReference w:type="default" r:id="rId3"/>
          <w:footerReference w:type="first" r:id="rId4"/>
          <w:type w:val="nextPage"/>
          <w:pgSz w:w="12240" w:h="15840"/>
          <w:pgMar w:left="1134" w:right="1134" w:header="0" w:top="1134" w:footer="1134" w:bottom="1710" w:gutter="0"/>
          <w:pgNumType w:fmt="decimal"/>
          <w:formProt w:val="false"/>
          <w:titlePg/>
          <w:textDirection w:val="lrTb"/>
        </w:sectPr>
        <w:pStyle w:val="FirstParagraph"/>
        <w:rPr/>
      </w:pPr>
      <w:r>
        <w:rPr/>
        <w:t xml:space="preserve">欧美国家老年性 </w:t>
      </w:r>
      <w:r>
        <w:rPr/>
        <w:t xml:space="preserve">VHD </w:t>
      </w:r>
      <w:r>
        <w:rPr/>
        <w:t xml:space="preserve">分型以主动脉狭窄 </w:t>
      </w:r>
      <w:r>
        <w:rPr/>
        <w:t xml:space="preserve">(aortic stenosis, AS) </w:t>
      </w:r>
      <w:r>
        <w:rPr/>
        <w:t xml:space="preserve">和二尖瓣关闭不全 </w:t>
      </w:r>
      <w:r>
        <w:rPr/>
        <w:t xml:space="preserve">(mitral regurgitation, MR) </w:t>
      </w:r>
      <w:r>
        <w:rPr/>
        <w:t xml:space="preserve">为主，主动脉关闭不全 </w:t>
      </w:r>
      <w:r>
        <w:rPr/>
        <w:t xml:space="preserve">(aortic regurgitation, AR) </w:t>
      </w:r>
      <w:r>
        <w:rPr/>
        <w:t xml:space="preserve">较少，而二尖瓣狭窄 </w:t>
      </w:r>
      <w:r>
        <w:rPr/>
        <w:t xml:space="preserve">(mitral stenosis, MS) </w:t>
      </w:r>
      <w:r>
        <w:rPr/>
        <w:t xml:space="preserve">最为少见。在 </w:t>
      </w:r>
      <w:r>
        <w:rPr/>
        <w:t xml:space="preserve">Nkomo </w:t>
      </w:r>
      <w:r>
        <w:rPr/>
        <w:t>等</w:t>
      </w:r>
      <w:r>
        <w:rPr>
          <w:vertAlign w:val="superscript"/>
        </w:rPr>
        <w:t>[1]</w:t>
      </w:r>
      <w:r>
        <w:rPr/>
        <w:t xml:space="preserve">的人群研究中，美国 </w:t>
      </w:r>
      <w:r>
        <w:rPr/>
        <w:t xml:space="preserve">75 </w:t>
      </w:r>
      <w:r>
        <w:rPr/>
        <w:t xml:space="preserve">岁以上高龄人群中患病率最高的 </w:t>
      </w:r>
      <w:r>
        <w:rPr/>
        <w:t xml:space="preserve">VHD </w:t>
      </w:r>
      <w:r>
        <w:rPr/>
        <w:t xml:space="preserve">依次为 </w:t>
      </w:r>
      <w:r>
        <w:rPr/>
        <w:t>MR (9.3%)</w:t>
      </w:r>
      <w:r>
        <w:rPr/>
        <w:t>，</w:t>
      </w:r>
      <w:r>
        <w:rPr/>
        <w:t>AS (2.8%)</w:t>
      </w:r>
      <w:r>
        <w:rPr/>
        <w:t>，</w:t>
      </w:r>
      <w:r>
        <w:rPr/>
        <w:t xml:space="preserve">AR (2.0%) </w:t>
      </w:r>
      <w:r>
        <w:rPr/>
        <w:t xml:space="preserve">和 </w:t>
      </w:r>
      <w:r>
        <w:rPr/>
        <w:t>MS (0.2%)</w:t>
      </w:r>
      <w:r>
        <w:rPr/>
        <w:t>；而在社区研究中，</w:t>
      </w:r>
      <w:r>
        <w:rPr/>
        <w:t>MR (7.1%)</w:t>
      </w:r>
      <w:r>
        <w:rPr/>
        <w:t>、</w:t>
      </w:r>
      <w:r>
        <w:rPr/>
        <w:t xml:space="preserve">AR (1.7%) </w:t>
      </w:r>
      <w:r>
        <w:rPr/>
        <w:t xml:space="preserve">患病率较低，提示社区中存在较多漏诊病例，在人群中实际的 </w:t>
      </w:r>
      <w:r>
        <w:rPr/>
        <w:t xml:space="preserve">VHD </w:t>
      </w:r>
      <w:r>
        <w:rPr/>
        <w:t>负担要高于社区研究，这可能是社区内经胸壁心脏超声不作为常规诊疗措施所致。</w:t>
      </w:r>
      <w:r>
        <w:rPr/>
        <w:t xml:space="preserve">Andell </w:t>
      </w:r>
      <w:r>
        <w:rPr/>
        <w:t>等</w:t>
      </w:r>
      <w:r>
        <w:rPr>
          <w:vertAlign w:val="superscript"/>
        </w:rPr>
        <w:t>[5]</w:t>
      </w:r>
      <w:r>
        <w:rPr/>
        <w:t xml:space="preserve">于 </w:t>
      </w:r>
      <w:r>
        <w:rPr/>
        <w:t xml:space="preserve">2003 - 2010 </w:t>
      </w:r>
      <w:r>
        <w:rPr/>
        <w:t xml:space="preserve">年进行的瑞典全国性回顾性研究显示，不同类型 </w:t>
      </w:r>
      <w:r>
        <w:rPr/>
        <w:t xml:space="preserve">VHD </w:t>
      </w:r>
      <w:r>
        <w:rPr/>
        <w:t xml:space="preserve">发病率由高到低依次为 </w:t>
      </w:r>
      <w:r>
        <w:rPr/>
        <w:t>AS (</w:t>
      </w:r>
      <w:r>
        <w:rPr/>
        <w:t xml:space="preserve">男性 </w:t>
      </w:r>
      <w:r>
        <w:rPr/>
        <w:t>37.8</w:t>
      </w:r>
      <w:r>
        <w:rPr/>
        <w:t xml:space="preserve">，女性 </w:t>
      </w:r>
      <w:r>
        <w:rPr/>
        <w:t xml:space="preserve">24.2 </w:t>
      </w:r>
      <w:r>
        <w:rPr/>
        <w:t xml:space="preserve">每 </w:t>
      </w:r>
      <w:r>
        <w:rPr/>
        <w:t xml:space="preserve">10 </w:t>
      </w:r>
      <w:r>
        <w:rPr/>
        <w:t>万人年</w:t>
      </w:r>
      <w:r>
        <w:rPr/>
        <w:t>)</w:t>
      </w:r>
      <w:r>
        <w:rPr/>
        <w:t>，</w:t>
      </w:r>
      <w:r>
        <w:rPr/>
        <w:t xml:space="preserve">MR (21.3, 16.0) </w:t>
      </w:r>
      <w:r>
        <w:rPr/>
        <w:t xml:space="preserve">和 </w:t>
      </w:r>
      <w:r>
        <w:rPr/>
        <w:t>AR (20.2, 10.8)</w:t>
      </w:r>
      <w:r>
        <w:rPr/>
        <w:t xml:space="preserve">。而 </w:t>
      </w:r>
      <w:r>
        <w:rPr/>
        <w:t xml:space="preserve">MS </w:t>
      </w:r>
      <w:r>
        <w:rPr/>
        <w:t xml:space="preserve">和右心瓣膜病发病率相对较低 </w:t>
      </w:r>
      <w:r>
        <w:rPr/>
        <w:t>(&lt; 3.0)</w:t>
      </w:r>
      <w:r>
        <w:rPr/>
        <w:t>。</w:t>
      </w:r>
    </w:p>
    <w:p>
      <w:pPr>
        <w:pStyle w:val="TextBody"/>
        <w:rPr/>
      </w:pPr>
      <w:r>
        <w:rPr/>
        <w:t xml:space="preserve">我国国内老年性 </w:t>
      </w:r>
      <w:r>
        <w:rPr/>
        <w:t xml:space="preserve">VHD </w:t>
      </w:r>
      <w:r>
        <w:rPr/>
        <w:t>分型总体来说与欧美国家相似。</w:t>
      </w:r>
      <w:r>
        <w:rPr/>
        <w:t xml:space="preserve">2010 - 2015 </w:t>
      </w:r>
      <w:r>
        <w:rPr/>
        <w:t xml:space="preserve">年 </w:t>
      </w:r>
      <w:r>
        <w:rPr/>
        <w:t xml:space="preserve">Hu </w:t>
      </w:r>
      <w:r>
        <w:rPr/>
        <w:t>等</w:t>
      </w:r>
      <w:r>
        <w:rPr>
          <w:vertAlign w:val="superscript"/>
        </w:rPr>
        <w:t>[6]</w:t>
      </w:r>
      <w:r>
        <w:rPr/>
        <w:t xml:space="preserve">于我国浙江进行的一项单中心回顾性研究显示，浙江 </w:t>
      </w:r>
      <w:r>
        <w:rPr/>
        <w:t xml:space="preserve">75 </w:t>
      </w:r>
      <w:r>
        <w:rPr/>
        <w:t xml:space="preserve">岁以上高龄人群中，重度老年性 </w:t>
      </w:r>
      <w:r>
        <w:rPr/>
        <w:t xml:space="preserve">VHD </w:t>
      </w:r>
      <w:r>
        <w:rPr/>
        <w:t xml:space="preserve">的患病率由高到低依次为 </w:t>
      </w:r>
      <w:r>
        <w:rPr/>
        <w:t xml:space="preserve">AS (0.32%), MR (0.32%) </w:t>
      </w:r>
      <w:r>
        <w:rPr/>
        <w:t xml:space="preserve">和 </w:t>
      </w:r>
      <w:r>
        <w:rPr/>
        <w:t>AR (0.12%)</w:t>
      </w:r>
      <w:r>
        <w:rPr/>
        <w:t>。</w:t>
      </w:r>
      <w:r>
        <w:rPr/>
        <w:t xml:space="preserve">He </w:t>
      </w:r>
      <w:r>
        <w:rPr/>
        <w:t>等</w:t>
      </w:r>
      <w:r>
        <w:rPr>
          <w:vertAlign w:val="superscript"/>
        </w:rPr>
        <w:t>[7]</w:t>
      </w:r>
      <w:r>
        <w:rPr/>
        <w:t xml:space="preserve">自 </w:t>
      </w:r>
      <w:r>
        <w:rPr/>
        <w:t xml:space="preserve">2015 </w:t>
      </w:r>
      <w:r>
        <w:rPr/>
        <w:t xml:space="preserve">年起对我国广州 </w:t>
      </w:r>
      <w:r>
        <w:rPr/>
        <w:t xml:space="preserve">3538 </w:t>
      </w:r>
      <w:r>
        <w:rPr/>
        <w:t xml:space="preserve">名 </w:t>
      </w:r>
      <w:r>
        <w:rPr/>
        <w:t xml:space="preserve">65 </w:t>
      </w:r>
      <w:r>
        <w:rPr/>
        <w:t xml:space="preserve">岁以上老年人群进行的前瞻性研究显示，老年性 </w:t>
      </w:r>
      <w:r>
        <w:rPr/>
        <w:t xml:space="preserve">VHD </w:t>
      </w:r>
      <w:r>
        <w:rPr/>
        <w:t xml:space="preserve">的患病率为 </w:t>
      </w:r>
      <w:r>
        <w:rPr/>
        <w:t>38.3%</w:t>
      </w:r>
      <w:r>
        <w:rPr/>
        <w:t xml:space="preserve">，其中主动脉瓣 </w:t>
      </w:r>
      <w:r>
        <w:rPr/>
        <w:t xml:space="preserve">(37.2%) </w:t>
      </w:r>
      <w:r>
        <w:rPr/>
        <w:t xml:space="preserve">最常受累，其次为二尖瓣 </w:t>
      </w:r>
      <w:r>
        <w:rPr/>
        <w:t>(8.2%)</w:t>
      </w:r>
      <w:r>
        <w:rPr/>
        <w:t xml:space="preserve">。在分型上，老年性 </w:t>
      </w:r>
      <w:r>
        <w:rPr/>
        <w:t xml:space="preserve">MR (8.0%) </w:t>
      </w:r>
      <w:r>
        <w:rPr/>
        <w:t xml:space="preserve">与 </w:t>
      </w:r>
      <w:r>
        <w:rPr/>
        <w:t xml:space="preserve">AS (1.1%) </w:t>
      </w:r>
      <w:r>
        <w:rPr/>
        <w:t xml:space="preserve">的患病率与 </w:t>
      </w:r>
      <w:r>
        <w:rPr/>
        <w:t xml:space="preserve">Nkomo </w:t>
      </w:r>
      <w:r>
        <w:rPr/>
        <w:t xml:space="preserve">等的研究一致，而老年性 </w:t>
      </w:r>
      <w:r>
        <w:rPr/>
        <w:t xml:space="preserve">AR (15.0%) </w:t>
      </w:r>
      <w:r>
        <w:rPr/>
        <w:t>的患病率较高，这可能与我国瓣膜病分型的地区差异有关</w:t>
      </w:r>
      <w:r>
        <w:rPr>
          <w:vertAlign w:val="superscript"/>
        </w:rPr>
        <w:t>[8]</w:t>
      </w:r>
      <w:r>
        <w:rPr/>
        <w:t>。</w:t>
      </w:r>
    </w:p>
    <w:p>
      <w:pPr>
        <w:pStyle w:val="Heading2"/>
        <w:ind w:left="0" w:right="0" w:hanging="0"/>
        <w:rPr/>
      </w:pPr>
      <w:r>
        <w:rPr/>
        <w:t>左心瓣膜病</w:t>
      </w:r>
    </w:p>
    <w:p>
      <w:pPr>
        <w:pStyle w:val="FirstParagraph"/>
        <w:rPr/>
      </w:pPr>
      <w:r>
        <w:rPr/>
        <w:t xml:space="preserve">2017 </w:t>
      </w:r>
      <w:r>
        <w:rPr/>
        <w:t>年全球疾病负担研究</w:t>
      </w:r>
      <w:r>
        <w:rPr>
          <w:vertAlign w:val="superscript"/>
        </w:rPr>
        <w:t>[9]</w:t>
      </w:r>
      <w:r>
        <w:rPr/>
        <w:t xml:space="preserve">发现，全球老年性二尖瓣疾病和钙化性主动脉瓣疾病 </w:t>
      </w:r>
      <w:r>
        <w:rPr/>
        <w:t xml:space="preserve">(calcified aortic valve disease, CAVD) </w:t>
      </w:r>
      <w:r>
        <w:rPr/>
        <w:t xml:space="preserve">的患病人数自 </w:t>
      </w:r>
      <w:r>
        <w:rPr/>
        <w:t xml:space="preserve">1990 </w:t>
      </w:r>
      <w:r>
        <w:rPr/>
        <w:t xml:space="preserve">年至 </w:t>
      </w:r>
      <w:r>
        <w:rPr/>
        <w:t xml:space="preserve">2017 </w:t>
      </w:r>
      <w:r>
        <w:rPr/>
        <w:t xml:space="preserve">年分别增长了 </w:t>
      </w:r>
      <w:r>
        <w:rPr/>
        <w:t xml:space="preserve">115% </w:t>
      </w:r>
      <w:r>
        <w:rPr/>
        <w:t xml:space="preserve">和 </w:t>
      </w:r>
      <w:r>
        <w:rPr/>
        <w:t>153%</w:t>
      </w:r>
      <w:r>
        <w:rPr/>
        <w:t xml:space="preserve">，在 </w:t>
      </w:r>
      <w:r>
        <w:rPr/>
        <w:t xml:space="preserve">2017 </w:t>
      </w:r>
      <w:r>
        <w:rPr/>
        <w:t xml:space="preserve">年 </w:t>
      </w:r>
      <w:r>
        <w:rPr/>
        <w:t xml:space="preserve">70 </w:t>
      </w:r>
      <w:r>
        <w:rPr/>
        <w:t xml:space="preserve">岁以上老年人群中其患病率较高，分别为 </w:t>
      </w:r>
      <w:r>
        <w:rPr/>
        <w:t xml:space="preserve">1.83% </w:t>
      </w:r>
      <w:r>
        <w:rPr/>
        <w:t xml:space="preserve">和 </w:t>
      </w:r>
      <w:r>
        <w:rPr/>
        <w:t>1.84%</w:t>
      </w:r>
      <w:r>
        <w:rPr/>
        <w:t>。</w:t>
      </w:r>
    </w:p>
    <w:p>
      <w:pPr>
        <w:pStyle w:val="TextBody"/>
        <w:rPr/>
      </w:pPr>
      <w:r>
        <w:rPr/>
        <w:t xml:space="preserve">老年性二尖瓣疾病是原发性 </w:t>
      </w:r>
      <w:r>
        <w:rPr/>
        <w:t xml:space="preserve">MR </w:t>
      </w:r>
      <w:r>
        <w:rPr/>
        <w:t xml:space="preserve">最主要的病因，其典型表现为二尖瓣脱垂 </w:t>
      </w:r>
      <w:r>
        <w:rPr/>
        <w:t>(mitral valve prolapse, MVP)</w:t>
      </w:r>
      <w:r>
        <w:rPr/>
        <w:t>。</w:t>
      </w:r>
      <w:r>
        <w:rPr/>
        <w:t xml:space="preserve">Nallia </w:t>
      </w:r>
      <w:r>
        <w:rPr/>
        <w:t>等</w:t>
      </w:r>
      <w:r>
        <w:rPr>
          <w:vertAlign w:val="superscript"/>
        </w:rPr>
        <w:t>[10]</w:t>
      </w:r>
      <w:r>
        <w:rPr/>
        <w:t xml:space="preserve">于 </w:t>
      </w:r>
      <w:r>
        <w:rPr/>
        <w:t xml:space="preserve">2018 </w:t>
      </w:r>
      <w:r>
        <w:rPr/>
        <w:t xml:space="preserve">年对 </w:t>
      </w:r>
      <w:r>
        <w:rPr/>
        <w:t xml:space="preserve">34 </w:t>
      </w:r>
      <w:r>
        <w:rPr/>
        <w:t xml:space="preserve">项研究进行的一项 </w:t>
      </w:r>
      <w:r>
        <w:rPr/>
        <w:t xml:space="preserve">Meta </w:t>
      </w:r>
      <w:r>
        <w:rPr/>
        <w:t xml:space="preserve">分析显示，社区内 </w:t>
      </w:r>
      <w:r>
        <w:rPr/>
        <w:t xml:space="preserve">MVP </w:t>
      </w:r>
      <w:r>
        <w:rPr/>
        <w:t xml:space="preserve">的患病率为 </w:t>
      </w:r>
      <w:r>
        <w:rPr/>
        <w:t>1.2% (95% CI 0.5 - 2.0)</w:t>
      </w:r>
      <w:r>
        <w:rPr/>
        <w:t xml:space="preserve">；其中 </w:t>
      </w:r>
      <w:r>
        <w:rPr/>
        <w:t xml:space="preserve">36.3% (95% CI 0.4 - 72.3) </w:t>
      </w:r>
      <w:r>
        <w:rPr/>
        <w:t xml:space="preserve">的患者合并有中度或重度 </w:t>
      </w:r>
      <w:r>
        <w:rPr/>
        <w:t>MR</w:t>
      </w:r>
      <w:r>
        <w:rPr/>
        <w:t>。</w:t>
      </w:r>
      <w:r>
        <w:rPr/>
        <w:t xml:space="preserve">MVP </w:t>
      </w:r>
      <w:r>
        <w:rPr/>
        <w:t xml:space="preserve">按照病理改变可分为 </w:t>
      </w:r>
      <w:r>
        <w:rPr/>
        <w:t xml:space="preserve">Barlow </w:t>
      </w:r>
      <w:r>
        <w:rPr/>
        <w:t>病和弹性纤维组织缺陷</w:t>
      </w:r>
      <w:r>
        <w:rPr>
          <w:vertAlign w:val="superscript"/>
        </w:rPr>
        <w:t>[11]</w:t>
      </w:r>
      <w:r>
        <w:rPr/>
        <w:t>。</w:t>
      </w:r>
      <w:r>
        <w:rPr/>
        <w:t xml:space="preserve">Barlow </w:t>
      </w:r>
      <w:r>
        <w:rPr/>
        <w:t xml:space="preserve">病在形态学上表现为二尖瓣膜增厚与黏液瘤样退行性变，可继发腱索、乳头肌及二尖瓣环钙化，而弹性纤维组织缺陷表现为瓣膜胶原、弹性蛋白和黏蛋白减少，继而引起瓣膜变薄和腱索断裂，导致二尖瓣反流。    </w:t>
      </w:r>
      <w:r>
        <w:rPr/>
        <w:t xml:space="preserve">2010 - 2015 </w:t>
      </w:r>
      <w:r>
        <w:rPr/>
        <w:t xml:space="preserve">年 </w:t>
      </w:r>
      <w:r>
        <w:rPr/>
        <w:t xml:space="preserve">Monteagudo </w:t>
      </w:r>
      <w:r>
        <w:rPr/>
        <w:t>等</w:t>
      </w:r>
      <w:r>
        <w:rPr>
          <w:vertAlign w:val="superscript"/>
        </w:rPr>
        <w:t>[12]</w:t>
      </w:r>
      <w:r>
        <w:rPr/>
        <w:t xml:space="preserve">对欧洲 </w:t>
      </w:r>
      <w:r>
        <w:rPr/>
        <w:t xml:space="preserve">19 </w:t>
      </w:r>
      <w:r>
        <w:rPr/>
        <w:t xml:space="preserve">个中心的 </w:t>
      </w:r>
      <w:r>
        <w:rPr/>
        <w:t xml:space="preserve">63463 </w:t>
      </w:r>
      <w:r>
        <w:rPr/>
        <w:t xml:space="preserve">名患者进行的前瞻性研究显示，欧洲目前 </w:t>
      </w:r>
      <w:r>
        <w:rPr/>
        <w:t xml:space="preserve">MR </w:t>
      </w:r>
      <w:r>
        <w:rPr/>
        <w:t xml:space="preserve">以原发性 </w:t>
      </w:r>
      <w:r>
        <w:rPr/>
        <w:t xml:space="preserve">(55.1%) </w:t>
      </w:r>
      <w:r>
        <w:rPr/>
        <w:t xml:space="preserve">为主，而老年性 </w:t>
      </w:r>
      <w:r>
        <w:rPr/>
        <w:t>MR (</w:t>
      </w:r>
      <w:r>
        <w:rPr/>
        <w:t xml:space="preserve">包括 </w:t>
      </w:r>
      <w:r>
        <w:rPr/>
        <w:t xml:space="preserve">Barlow </w:t>
      </w:r>
      <w:r>
        <w:rPr/>
        <w:t xml:space="preserve">病 </w:t>
      </w:r>
      <w:r>
        <w:rPr/>
        <w:t xml:space="preserve">14.4% </w:t>
      </w:r>
      <w:r>
        <w:rPr/>
        <w:t xml:space="preserve">和其他原因的老年性 </w:t>
      </w:r>
      <w:r>
        <w:rPr/>
        <w:t xml:space="preserve">MR 59.8%) </w:t>
      </w:r>
      <w:r>
        <w:rPr/>
        <w:t xml:space="preserve">是原发性 </w:t>
      </w:r>
      <w:r>
        <w:rPr/>
        <w:t xml:space="preserve">MR </w:t>
      </w:r>
      <w:r>
        <w:rPr/>
        <w:t>中最常见的病因。随着年龄的增长，</w:t>
      </w:r>
      <w:r>
        <w:rPr/>
        <w:t xml:space="preserve">MVP </w:t>
      </w:r>
      <w:r>
        <w:rPr/>
        <w:t>患者更容易出现二尖瓣老年性改变。</w:t>
      </w:r>
      <w:r>
        <w:rPr/>
        <w:t xml:space="preserve">Delling </w:t>
      </w:r>
      <w:r>
        <w:rPr/>
        <w:t>等</w:t>
      </w:r>
      <w:r>
        <w:rPr>
          <w:vertAlign w:val="superscript"/>
        </w:rPr>
        <w:t>[13]</w:t>
      </w:r>
      <w:r>
        <w:rPr/>
        <w:t xml:space="preserve">对 </w:t>
      </w:r>
      <w:r>
        <w:rPr/>
        <w:t xml:space="preserve">63 </w:t>
      </w:r>
      <w:r>
        <w:rPr/>
        <w:t xml:space="preserve">位 </w:t>
      </w:r>
      <w:r>
        <w:rPr/>
        <w:t xml:space="preserve">MVP </w:t>
      </w:r>
      <w:r>
        <w:rPr/>
        <w:t xml:space="preserve">患者和 </w:t>
      </w:r>
      <w:r>
        <w:rPr/>
        <w:t xml:space="preserve">138 </w:t>
      </w:r>
      <w:r>
        <w:rPr/>
        <w:t xml:space="preserve">位健康对照人群进行了 </w:t>
      </w:r>
      <w:r>
        <w:rPr/>
        <w:t xml:space="preserve">3 </w:t>
      </w:r>
      <w:r>
        <w:rPr/>
        <w:t xml:space="preserve">至 </w:t>
      </w:r>
      <w:r>
        <w:rPr/>
        <w:t xml:space="preserve">16 </w:t>
      </w:r>
      <w:r>
        <w:rPr/>
        <w:t xml:space="preserve">年的随访，在随访过程中，有 </w:t>
      </w:r>
      <w:r>
        <w:rPr/>
        <w:t xml:space="preserve">16 </w:t>
      </w:r>
      <w:r>
        <w:rPr/>
        <w:t xml:space="preserve">位 </w:t>
      </w:r>
      <w:r>
        <w:rPr/>
        <w:t xml:space="preserve">(25%) MVP </w:t>
      </w:r>
      <w:r>
        <w:rPr/>
        <w:t xml:space="preserve">患者新发中、重度 </w:t>
      </w:r>
      <w:r>
        <w:rPr/>
        <w:t xml:space="preserve">MR </w:t>
      </w:r>
      <w:r>
        <w:rPr/>
        <w:t xml:space="preserve">或进行二尖瓣修复术；一部分健康对照人群在随访过程中新出现 </w:t>
      </w:r>
      <w:r>
        <w:rPr/>
        <w:t>MVP</w:t>
      </w:r>
      <w:r>
        <w:rPr/>
        <w:t xml:space="preserve">，提示 </w:t>
      </w:r>
      <w:r>
        <w:rPr/>
        <w:t xml:space="preserve">MVP </w:t>
      </w:r>
      <w:r>
        <w:rPr/>
        <w:t>的发病可能与年龄相关。与正常人群相比，</w:t>
      </w:r>
      <w:r>
        <w:rPr/>
        <w:t xml:space="preserve">MVP </w:t>
      </w:r>
      <w:r>
        <w:rPr/>
        <w:t>患者的预后更差。经相关因素调整后，</w:t>
      </w:r>
      <w:r>
        <w:rPr/>
        <w:t xml:space="preserve">MVP </w:t>
      </w:r>
      <w:r>
        <w:rPr/>
        <w:t xml:space="preserve">新发心血管疾病的风险 </w:t>
      </w:r>
      <w:r>
        <w:rPr/>
        <w:t xml:space="preserve">(HR 1.70, 95%CI 0.95 - 3.03, p=0.07 </w:t>
      </w:r>
      <w:r>
        <w:rPr/>
        <w:t>小于界值</w:t>
      </w:r>
      <w:r>
        <w:rPr/>
        <w:t xml:space="preserve">) </w:t>
      </w:r>
      <w:r>
        <w:rPr/>
        <w:t xml:space="preserve">和死亡风险 </w:t>
      </w:r>
      <w:r>
        <w:rPr/>
        <w:t xml:space="preserve">(HR 1.67, 95%CI 0.93 - 2.9, p=0.08 </w:t>
      </w:r>
      <w:r>
        <w:rPr/>
        <w:t>小于界值</w:t>
      </w:r>
      <w:r>
        <w:rPr/>
        <w:t xml:space="preserve">) </w:t>
      </w:r>
      <w:r>
        <w:rPr/>
        <w:t>显著高于对照组。</w:t>
      </w:r>
      <w:bookmarkStart w:id="1" w:name="左心瓣膜病"/>
      <w:bookmarkEnd w:id="1"/>
    </w:p>
    <w:p>
      <w:pPr>
        <w:pStyle w:val="Heading2"/>
        <w:ind w:left="0" w:right="0" w:hanging="0"/>
        <w:rPr/>
      </w:pPr>
      <w:r>
        <w:rPr/>
        <w:t>联合瓣膜病</w:t>
      </w:r>
    </w:p>
    <w:p>
      <w:pPr>
        <w:pStyle w:val="FirstParagraph"/>
        <w:rPr/>
      </w:pPr>
      <w:r>
        <w:rPr/>
        <w:t xml:space="preserve">既往认为联合瓣膜病多数由风湿性 </w:t>
      </w:r>
      <w:r>
        <w:rPr/>
        <w:t xml:space="preserve">VHD </w:t>
      </w:r>
      <w:r>
        <w:rPr/>
        <w:t xml:space="preserve">引起，但近期研究发现，老年性 </w:t>
      </w:r>
      <w:r>
        <w:rPr/>
        <w:t xml:space="preserve">VHD </w:t>
      </w:r>
      <w:r>
        <w:rPr/>
        <w:t>在联合瓣膜病中也有较高的占比。</w:t>
      </w:r>
      <w:r>
        <w:rPr/>
        <w:t xml:space="preserve">Iung </w:t>
      </w:r>
      <w:r>
        <w:rPr/>
        <w:t>等</w:t>
      </w:r>
      <w:r>
        <w:rPr>
          <w:vertAlign w:val="superscript"/>
        </w:rPr>
        <w:t>[14]</w:t>
      </w:r>
      <w:r>
        <w:rPr/>
        <w:t xml:space="preserve">于 </w:t>
      </w:r>
      <w:r>
        <w:rPr/>
        <w:t xml:space="preserve">2001 </w:t>
      </w:r>
      <w:r>
        <w:rPr/>
        <w:t xml:space="preserve">年 </w:t>
      </w:r>
      <w:r>
        <w:rPr/>
        <w:t xml:space="preserve">4 </w:t>
      </w:r>
      <w:r>
        <w:rPr/>
        <w:t xml:space="preserve">月至 </w:t>
      </w:r>
      <w:r>
        <w:rPr/>
        <w:t xml:space="preserve">7 </w:t>
      </w:r>
      <w:r>
        <w:rPr/>
        <w:t xml:space="preserve">月进行的一项多中心的横断面研究发现，欧洲联合瓣膜病患者中老年退行性病变者占 </w:t>
      </w:r>
      <w:r>
        <w:rPr/>
        <w:t>40.6%</w:t>
      </w:r>
      <w:r>
        <w:rPr/>
        <w:t xml:space="preserve">，仅次于风湿性病变 </w:t>
      </w:r>
      <w:r>
        <w:rPr/>
        <w:t>(51.4%)</w:t>
      </w:r>
      <w:r>
        <w:rPr/>
        <w:t>。叶蕴青等</w:t>
      </w:r>
      <w:r>
        <w:rPr>
          <w:vertAlign w:val="superscript"/>
        </w:rPr>
        <w:t>[8]</w:t>
      </w:r>
      <w:r>
        <w:rPr/>
        <w:t xml:space="preserve">的研究显示，我国各地区联合瓣膜病患者中，老年性 </w:t>
      </w:r>
      <w:r>
        <w:rPr/>
        <w:t xml:space="preserve">VHD </w:t>
      </w:r>
      <w:r>
        <w:rPr/>
        <w:t xml:space="preserve">较风湿性 </w:t>
      </w:r>
      <w:r>
        <w:rPr/>
        <w:t xml:space="preserve">VHD </w:t>
      </w:r>
      <w:r>
        <w:rPr/>
        <w:t xml:space="preserve">更为常见，以我国东部 </w:t>
      </w:r>
      <w:r>
        <w:rPr/>
        <w:t>(</w:t>
      </w:r>
      <w:r>
        <w:rPr/>
        <w:t xml:space="preserve">老年性 </w:t>
      </w:r>
      <w:r>
        <w:rPr/>
        <w:t xml:space="preserve">36.7%; </w:t>
      </w:r>
      <w:r>
        <w:rPr/>
        <w:t xml:space="preserve">风湿性 </w:t>
      </w:r>
      <w:r>
        <w:rPr/>
        <w:t xml:space="preserve">19.0%) </w:t>
      </w:r>
      <w:r>
        <w:rPr/>
        <w:t xml:space="preserve">和中部地区 </w:t>
      </w:r>
      <w:r>
        <w:rPr/>
        <w:t>(</w:t>
      </w:r>
      <w:r>
        <w:rPr/>
        <w:t xml:space="preserve">老年性 </w:t>
      </w:r>
      <w:r>
        <w:rPr/>
        <w:t xml:space="preserve">31.1%; </w:t>
      </w:r>
      <w:r>
        <w:rPr/>
        <w:t xml:space="preserve">风湿性 </w:t>
      </w:r>
      <w:r>
        <w:rPr/>
        <w:t xml:space="preserve">18.2%) </w:t>
      </w:r>
      <w:r>
        <w:rPr/>
        <w:t>最为明显。</w:t>
      </w:r>
      <w:bookmarkStart w:id="2" w:name="联合瓣膜病"/>
      <w:bookmarkStart w:id="3" w:name="老年性-vhd-的病理分型特点"/>
      <w:bookmarkEnd w:id="2"/>
      <w:bookmarkEnd w:id="3"/>
    </w:p>
    <w:p>
      <w:pPr>
        <w:pStyle w:val="Heading1"/>
        <w:ind w:left="0" w:right="0" w:hanging="0"/>
        <w:rPr/>
      </w:pPr>
      <w:r>
        <w:rPr/>
        <w:t xml:space="preserve">老年性 </w:t>
      </w:r>
      <w:r>
        <w:rPr/>
        <w:t xml:space="preserve">VHD </w:t>
      </w:r>
      <w:r>
        <w:rPr/>
        <w:t>的治疗进展</w:t>
      </w:r>
    </w:p>
    <w:p>
      <w:pPr>
        <w:pStyle w:val="FirstParagraph"/>
        <w:rPr/>
      </w:pPr>
      <w:r>
        <w:rPr/>
        <w:t xml:space="preserve">目前瓣膜修复与瓣膜置换为老年性 </w:t>
      </w:r>
      <w:r>
        <w:rPr/>
        <w:t xml:space="preserve">VHD </w:t>
      </w:r>
      <w:r>
        <w:rPr/>
        <w:t xml:space="preserve">的唯一有效的治疗方法。既往对于重度老年性 </w:t>
      </w:r>
      <w:r>
        <w:rPr/>
        <w:t>VHD</w:t>
      </w:r>
      <w:r>
        <w:rPr/>
        <w:t xml:space="preserve">，特别是重度 </w:t>
      </w:r>
      <w:r>
        <w:rPr/>
        <w:t xml:space="preserve">CAVD </w:t>
      </w:r>
      <w:r>
        <w:rPr/>
        <w:t xml:space="preserve">主要采用外科主动脉瓣置换术 </w:t>
      </w:r>
      <w:r>
        <w:rPr/>
        <w:t xml:space="preserve">(surgical aortic valve replacement, SAVR) </w:t>
      </w:r>
      <w:r>
        <w:rPr/>
        <w:t xml:space="preserve">进行治疗。近年来经导管主动脉瓣植入技术 </w:t>
      </w:r>
      <w:r>
        <w:rPr/>
        <w:t xml:space="preserve">(transcatheter aortic valve implantation, TAVI) </w:t>
      </w:r>
      <w:r>
        <w:rPr/>
        <w:t xml:space="preserve">得到陆续开展，一些研究发现 </w:t>
      </w:r>
      <w:r>
        <w:rPr/>
        <w:t xml:space="preserve">TAVI </w:t>
      </w:r>
      <w:r>
        <w:rPr/>
        <w:t xml:space="preserve">在治疗 </w:t>
      </w:r>
      <w:r>
        <w:rPr/>
        <w:t xml:space="preserve">CAVD </w:t>
      </w:r>
      <w:r>
        <w:rPr/>
        <w:t xml:space="preserve">的术后并发症上可能优于 </w:t>
      </w:r>
      <w:r>
        <w:rPr/>
        <w:t>SAVR</w:t>
      </w:r>
      <w:r>
        <w:rPr/>
        <w:t>。</w:t>
      </w:r>
      <w:r>
        <w:rPr/>
        <w:t xml:space="preserve">Leon </w:t>
      </w:r>
      <w:r>
        <w:rPr/>
        <w:t>等</w:t>
      </w:r>
      <w:r>
        <w:rPr>
          <w:vertAlign w:val="superscript"/>
        </w:rPr>
        <w:t>[15]</w:t>
      </w:r>
      <w:r>
        <w:rPr/>
        <w:t xml:space="preserve">在美国及加拿大进行的多中心随机对照试验 </w:t>
      </w:r>
      <w:r>
        <w:rPr/>
        <w:t xml:space="preserve">(PARTNER 2) </w:t>
      </w:r>
      <w:r>
        <w:rPr/>
        <w:t xml:space="preserve">显示，经股动脉 </w:t>
      </w:r>
      <w:r>
        <w:rPr/>
        <w:t xml:space="preserve">TAVI </w:t>
      </w:r>
      <w:r>
        <w:rPr/>
        <w:t xml:space="preserve">治疗的患者血管并发症较 </w:t>
      </w:r>
      <w:r>
        <w:rPr/>
        <w:t xml:space="preserve">SAVR </w:t>
      </w:r>
      <w:r>
        <w:rPr/>
        <w:t xml:space="preserve">更常见 </w:t>
      </w:r>
      <w:r>
        <w:rPr/>
        <w:t>(TAVI 7.9%, SAVR 5.0%, p = 0.008)</w:t>
      </w:r>
      <w:r>
        <w:rPr/>
        <w:t xml:space="preserve">，但 </w:t>
      </w:r>
      <w:r>
        <w:rPr/>
        <w:t xml:space="preserve">2 </w:t>
      </w:r>
      <w:r>
        <w:rPr/>
        <w:t xml:space="preserve">年内死亡或出现严重卒中的风险较 </w:t>
      </w:r>
      <w:r>
        <w:rPr/>
        <w:t xml:space="preserve">SAVR </w:t>
      </w:r>
      <w:r>
        <w:rPr/>
        <w:t xml:space="preserve">更低 </w:t>
      </w:r>
      <w:r>
        <w:rPr/>
        <w:t>(HR 0.78, p = 0.04)</w:t>
      </w:r>
      <w:r>
        <w:rPr/>
        <w:t xml:space="preserve">，且 </w:t>
      </w:r>
      <w:r>
        <w:rPr/>
        <w:t xml:space="preserve">TAVI </w:t>
      </w:r>
      <w:r>
        <w:rPr/>
        <w:t xml:space="preserve">出现大量出血 </w:t>
      </w:r>
      <w:r>
        <w:rPr/>
        <w:t>(p &lt; 0.001)</w:t>
      </w:r>
      <w:r>
        <w:rPr/>
        <w:t xml:space="preserve">、急性肾损伤 </w:t>
      </w:r>
      <w:r>
        <w:rPr/>
        <w:t xml:space="preserve">(p = 0.006) </w:t>
      </w:r>
      <w:r>
        <w:rPr/>
        <w:t xml:space="preserve">及新发房颤 </w:t>
      </w:r>
      <w:r>
        <w:rPr/>
        <w:t xml:space="preserve">(p &lt; 0.001) </w:t>
      </w:r>
      <w:r>
        <w:rPr/>
        <w:t xml:space="preserve">等并发症的比例少于 </w:t>
      </w:r>
      <w:r>
        <w:rPr/>
        <w:t>SAVR</w:t>
      </w:r>
      <w:r>
        <w:rPr/>
        <w:t>。人工瓣膜心内膜炎为人工瓣膜置换的严重并发症，</w:t>
      </w:r>
      <w:r>
        <w:rPr/>
        <w:t xml:space="preserve">Summers </w:t>
      </w:r>
      <w:r>
        <w:rPr/>
        <w:t>等</w:t>
      </w:r>
      <w:r>
        <w:rPr>
          <w:vertAlign w:val="superscript"/>
        </w:rPr>
        <w:t>[16]</w:t>
      </w:r>
      <w:r>
        <w:rPr/>
        <w:t xml:space="preserve">进一步分析了 </w:t>
      </w:r>
      <w:r>
        <w:rPr/>
        <w:t xml:space="preserve">PARTNER </w:t>
      </w:r>
      <w:r>
        <w:rPr/>
        <w:t xml:space="preserve">研究中经股动脉 </w:t>
      </w:r>
      <w:r>
        <w:rPr/>
        <w:t xml:space="preserve">TAVI </w:t>
      </w:r>
      <w:r>
        <w:rPr/>
        <w:t xml:space="preserve">与 </w:t>
      </w:r>
      <w:r>
        <w:rPr/>
        <w:t xml:space="preserve">SAVR </w:t>
      </w:r>
      <w:r>
        <w:rPr/>
        <w:t xml:space="preserve">在瓣膜置换后人工瓣膜心内膜炎的发病率，发现两者间无统计学差异 </w:t>
      </w:r>
      <w:r>
        <w:rPr/>
        <w:t xml:space="preserve">(TAVI 5.21, SAVR 4.10 </w:t>
      </w:r>
      <w:r>
        <w:rPr/>
        <w:t xml:space="preserve">每 </w:t>
      </w:r>
      <w:r>
        <w:rPr/>
        <w:t xml:space="preserve">1000 </w:t>
      </w:r>
      <w:r>
        <w:rPr/>
        <w:t>人年</w:t>
      </w:r>
      <w:r>
        <w:rPr/>
        <w:t>, p = 0.44)</w:t>
      </w:r>
      <w:r>
        <w:rPr/>
        <w:t xml:space="preserve">。由于 </w:t>
      </w:r>
      <w:r>
        <w:rPr/>
        <w:t xml:space="preserve">TAVI </w:t>
      </w:r>
      <w:r>
        <w:rPr/>
        <w:t>仍处于开展早期，</w:t>
      </w:r>
      <w:r>
        <w:rPr/>
        <w:t xml:space="preserve">TAVI </w:t>
      </w:r>
      <w:r>
        <w:rPr/>
        <w:t>患者的远期预后仍有待进一步研究。</w:t>
      </w:r>
    </w:p>
    <w:p>
      <w:pPr>
        <w:pStyle w:val="TextBody"/>
        <w:rPr/>
      </w:pPr>
      <w:r>
        <w:rPr/>
        <w:t xml:space="preserve">目前常见的 </w:t>
      </w:r>
      <w:r>
        <w:rPr/>
        <w:t xml:space="preserve">TAVI </w:t>
      </w:r>
      <w:r>
        <w:rPr/>
        <w:t xml:space="preserve">瓣膜包括经导管球囊扩张瓣膜 </w:t>
      </w:r>
      <w:r>
        <w:rPr/>
        <w:t xml:space="preserve">(SAPIAN XT, SAPIAN 3) </w:t>
      </w:r>
      <w:r>
        <w:rPr/>
        <w:t xml:space="preserve">和自扩张瓣膜 </w:t>
      </w:r>
      <w:r>
        <w:rPr/>
        <w:t>(CoreValve, CoreValve Evolut R)</w:t>
      </w:r>
      <w:r>
        <w:rPr/>
        <w:t xml:space="preserve">。在瓣膜寿命上，研究显示，第一代和第二代的经导管球囊扩张瓣膜 </w:t>
      </w:r>
      <w:r>
        <w:rPr/>
        <w:t xml:space="preserve">(SAPIAN, SAPIAN XT) </w:t>
      </w:r>
      <w:r>
        <w:rPr/>
        <w:t xml:space="preserve">寿命低于 </w:t>
      </w:r>
      <w:r>
        <w:rPr/>
        <w:t xml:space="preserve">SAVR </w:t>
      </w:r>
      <w:r>
        <w:rPr/>
        <w:t>瓣膜</w:t>
      </w:r>
      <w:r>
        <w:rPr>
          <w:vertAlign w:val="superscript"/>
        </w:rPr>
        <w:t>[17]</w:t>
      </w:r>
      <w:r>
        <w:rPr/>
        <w:t xml:space="preserve">。 随着 </w:t>
      </w:r>
      <w:r>
        <w:rPr/>
        <w:t xml:space="preserve">TAVI </w:t>
      </w:r>
      <w:r>
        <w:rPr/>
        <w:t xml:space="preserve">瓣膜技术的不断进步，研究发现新一代 </w:t>
      </w:r>
      <w:r>
        <w:rPr/>
        <w:t xml:space="preserve">TAVI </w:t>
      </w:r>
      <w:r>
        <w:rPr/>
        <w:t xml:space="preserve">瓣膜至少可以维持 </w:t>
      </w:r>
      <w:r>
        <w:rPr/>
        <w:t xml:space="preserve">5 - 6 </w:t>
      </w:r>
      <w:r>
        <w:rPr/>
        <w:t>年的使用寿命。</w:t>
      </w:r>
      <w:r>
        <w:rPr/>
        <w:t xml:space="preserve">PARTNER 2 </w:t>
      </w:r>
      <w:r>
        <w:rPr/>
        <w:t xml:space="preserve">研究显示，经过 </w:t>
      </w:r>
      <w:r>
        <w:rPr/>
        <w:t xml:space="preserve">5 </w:t>
      </w:r>
      <w:r>
        <w:rPr/>
        <w:t xml:space="preserve">年随访，使用第二代经导管球囊扩张瓣膜 </w:t>
      </w:r>
      <w:r>
        <w:rPr/>
        <w:t xml:space="preserve">(SAPIAN XT) </w:t>
      </w:r>
      <w:r>
        <w:rPr/>
        <w:t xml:space="preserve">的患者瓣膜退化的风险较 </w:t>
      </w:r>
      <w:r>
        <w:rPr/>
        <w:t xml:space="preserve">SAVR </w:t>
      </w:r>
      <w:r>
        <w:rPr/>
        <w:t xml:space="preserve">更高 </w:t>
      </w:r>
      <w:r>
        <w:rPr/>
        <w:t>(HR 2.59; p = 0.0015)</w:t>
      </w:r>
      <w:r>
        <w:rPr/>
        <w:t xml:space="preserve">，而第三代经导管球囊扩张瓣膜 </w:t>
      </w:r>
      <w:r>
        <w:rPr/>
        <w:t xml:space="preserve">(SAPIAN 3) </w:t>
      </w:r>
      <w:r>
        <w:rPr/>
        <w:t xml:space="preserve">的患者瓣膜退化风险与 </w:t>
      </w:r>
      <w:r>
        <w:rPr/>
        <w:t xml:space="preserve">SAVR </w:t>
      </w:r>
      <w:r>
        <w:rPr/>
        <w:t xml:space="preserve">无统计学差异 </w:t>
      </w:r>
      <w:r>
        <w:rPr/>
        <w:t>(p = 0.71)</w:t>
      </w:r>
      <w:r>
        <w:rPr>
          <w:vertAlign w:val="superscript"/>
        </w:rPr>
        <w:t>[18]</w:t>
      </w:r>
      <w:r>
        <w:rPr/>
        <w:t xml:space="preserve">。一项欧洲进行的前瞻性随机对照非盲临床试验 </w:t>
      </w:r>
      <w:r>
        <w:rPr/>
        <w:t xml:space="preserve">(NOTION) </w:t>
      </w:r>
      <w:r>
        <w:rPr/>
        <w:t xml:space="preserve">通过 </w:t>
      </w:r>
      <w:r>
        <w:rPr/>
        <w:t xml:space="preserve">6 </w:t>
      </w:r>
      <w:r>
        <w:rPr/>
        <w:t xml:space="preserve">年的随访发现，在重度退行性 </w:t>
      </w:r>
      <w:r>
        <w:rPr/>
        <w:t xml:space="preserve">AS </w:t>
      </w:r>
      <w:r>
        <w:rPr/>
        <w:t xml:space="preserve">的患者中，使用第三代自扩张瓣膜 </w:t>
      </w:r>
      <w:r>
        <w:rPr/>
        <w:t xml:space="preserve">(CoreValve) </w:t>
      </w:r>
      <w:r>
        <w:rPr/>
        <w:t xml:space="preserve">的患者瓣膜退化风险低于 </w:t>
      </w:r>
      <w:r>
        <w:rPr/>
        <w:t>SAVR (p &lt; 0.001)</w:t>
      </w:r>
      <w:r>
        <w:rPr>
          <w:vertAlign w:val="superscript"/>
        </w:rPr>
        <w:t>[19]</w:t>
      </w:r>
      <w:r>
        <w:rPr/>
        <w:t>.</w:t>
      </w:r>
    </w:p>
    <w:p>
      <w:pPr>
        <w:pStyle w:val="TextBody"/>
        <w:rPr/>
      </w:pPr>
      <w:r>
        <w:rPr/>
        <w:t xml:space="preserve">对于老年性二尖瓣疾病的治疗，目前仍主要采用外科二尖瓣修复 </w:t>
      </w:r>
      <w:r>
        <w:rPr/>
        <w:t xml:space="preserve">(SMVR) </w:t>
      </w:r>
      <w:r>
        <w:rPr/>
        <w:t xml:space="preserve">的方式，但经导管二尖瓣瓣膜植入技术 </w:t>
      </w:r>
      <w:r>
        <w:rPr/>
        <w:t xml:space="preserve">(TMVI) </w:t>
      </w:r>
      <w:r>
        <w:rPr/>
        <w:t xml:space="preserve">也在探索过程中。在多中心随机非盲临床试验 </w:t>
      </w:r>
      <w:r>
        <w:rPr/>
        <w:t>EVEREST II</w:t>
      </w:r>
      <w:r>
        <w:rPr>
          <w:vertAlign w:val="superscript"/>
        </w:rPr>
        <w:t>[20]</w:t>
      </w:r>
      <w:r>
        <w:rPr/>
        <w:t xml:space="preserve"> </w:t>
      </w:r>
      <w:r>
        <w:rPr/>
        <w:t xml:space="preserve">中，共 </w:t>
      </w:r>
      <w:r>
        <w:rPr/>
        <w:t xml:space="preserve">178 </w:t>
      </w:r>
      <w:r>
        <w:rPr/>
        <w:t xml:space="preserve">名患者 </w:t>
      </w:r>
      <w:r>
        <w:rPr/>
        <w:t xml:space="preserve">(73.0% </w:t>
      </w:r>
      <w:r>
        <w:rPr/>
        <w:t xml:space="preserve">为老年性 </w:t>
      </w:r>
      <w:r>
        <w:rPr/>
        <w:t xml:space="preserve">MR) </w:t>
      </w:r>
      <w:r>
        <w:rPr/>
        <w:t xml:space="preserve">进行了 </w:t>
      </w:r>
      <w:r>
        <w:rPr/>
        <w:t>TMVI</w:t>
      </w:r>
      <w:r>
        <w:rPr/>
        <w:t xml:space="preserve">。虽然经过 </w:t>
      </w:r>
      <w:r>
        <w:rPr/>
        <w:t xml:space="preserve">5 </w:t>
      </w:r>
      <w:r>
        <w:rPr/>
        <w:t xml:space="preserve">年随访，患者 </w:t>
      </w:r>
      <w:r>
        <w:rPr/>
        <w:t xml:space="preserve">MR </w:t>
      </w:r>
      <w:r>
        <w:rPr/>
        <w:t xml:space="preserve">程度与术前相比有明显改善 </w:t>
      </w:r>
      <w:r>
        <w:rPr/>
        <w:t>(p &lt; 0.001)</w:t>
      </w:r>
      <w:r>
        <w:rPr/>
        <w:t xml:space="preserve">，但与进行 </w:t>
      </w:r>
      <w:r>
        <w:rPr/>
        <w:t xml:space="preserve">SMVR </w:t>
      </w:r>
      <w:r>
        <w:rPr/>
        <w:t xml:space="preserve">的患者相比，进行 </w:t>
      </w:r>
      <w:r>
        <w:rPr/>
        <w:t xml:space="preserve">TMVI </w:t>
      </w:r>
      <w:r>
        <w:rPr/>
        <w:t xml:space="preserve">的老年性 </w:t>
      </w:r>
      <w:r>
        <w:rPr/>
        <w:t xml:space="preserve">MR </w:t>
      </w:r>
      <w:r>
        <w:rPr/>
        <w:t xml:space="preserve">患者 </w:t>
      </w:r>
      <w:r>
        <w:rPr/>
        <w:t xml:space="preserve">5 </w:t>
      </w:r>
      <w:r>
        <w:rPr/>
        <w:t xml:space="preserve">年内死亡，复发中、重度二尖瓣反流或进行二次手术的比例更高 </w:t>
      </w:r>
      <w:r>
        <w:rPr/>
        <w:t>(TMVI 54.5%, SMVR 23.8%, p &lt; 0.001)</w:t>
      </w:r>
      <w:r>
        <w:rPr/>
        <w:t xml:space="preserve">。大部分 </w:t>
      </w:r>
      <w:r>
        <w:rPr/>
        <w:t xml:space="preserve">(78%) </w:t>
      </w:r>
      <w:r>
        <w:rPr/>
        <w:t xml:space="preserve">的二尖瓣功能不全和二次手术发生在术后 </w:t>
      </w:r>
      <w:r>
        <w:rPr/>
        <w:t xml:space="preserve">6 </w:t>
      </w:r>
      <w:r>
        <w:rPr/>
        <w:t xml:space="preserve">个月内，其中多数与瓣膜的不正确植入 </w:t>
      </w:r>
      <w:r>
        <w:rPr/>
        <w:t xml:space="preserve">(9.5%) </w:t>
      </w:r>
      <w:r>
        <w:rPr/>
        <w:t xml:space="preserve">和瓣膜早期脱落 </w:t>
      </w:r>
      <w:r>
        <w:rPr/>
        <w:t xml:space="preserve">(6.3%) </w:t>
      </w:r>
      <w:r>
        <w:rPr/>
        <w:t xml:space="preserve">有关。由于老年性 </w:t>
      </w:r>
      <w:r>
        <w:rPr/>
        <w:t xml:space="preserve">MR </w:t>
      </w:r>
      <w:r>
        <w:rPr/>
        <w:t xml:space="preserve">的复发及死亡比例较高，近期的研究主要集中在功能性 </w:t>
      </w:r>
      <w:r>
        <w:rPr/>
        <w:t xml:space="preserve">MR </w:t>
      </w:r>
      <w:r>
        <w:rPr/>
        <w:t xml:space="preserve">的 </w:t>
      </w:r>
      <w:r>
        <w:rPr/>
        <w:t xml:space="preserve">TMVI </w:t>
      </w:r>
      <w:r>
        <w:rPr/>
        <w:t>治疗</w:t>
      </w:r>
      <w:r>
        <w:rPr>
          <w:vertAlign w:val="superscript"/>
        </w:rPr>
        <w:t>[21]</w:t>
      </w:r>
      <w:r>
        <w:rPr/>
        <w:t xml:space="preserve">；将 </w:t>
      </w:r>
      <w:r>
        <w:rPr/>
        <w:t xml:space="preserve">TMVI </w:t>
      </w:r>
      <w:r>
        <w:rPr/>
        <w:t xml:space="preserve">广泛应用于老年性 </w:t>
      </w:r>
      <w:r>
        <w:rPr/>
        <w:t xml:space="preserve">VHD </w:t>
      </w:r>
      <w:r>
        <w:rPr/>
        <w:t>仍需要人工瓣膜和植入方式的进一步改进。</w:t>
      </w:r>
      <w:bookmarkStart w:id="4" w:name="老年性-vhd-的治疗进展"/>
      <w:bookmarkEnd w:id="4"/>
    </w:p>
    <w:p>
      <w:pPr>
        <w:pStyle w:val="Heading1"/>
        <w:ind w:left="0" w:right="0" w:hanging="0"/>
        <w:rPr/>
      </w:pPr>
      <w:r>
        <w:rPr/>
        <w:t>未来展望</w:t>
      </w:r>
    </w:p>
    <w:p>
      <w:pPr>
        <w:pStyle w:val="FirstParagraph"/>
        <w:rPr/>
      </w:pPr>
      <w:r>
        <w:rPr/>
        <w:t>近年来研究表明，</w:t>
      </w:r>
      <w:r>
        <w:rPr/>
        <w:t xml:space="preserve">VHD </w:t>
      </w:r>
      <w:r>
        <w:rPr/>
        <w:t xml:space="preserve">在世界范围内的发病率逐渐上升，尤其是老年性 </w:t>
      </w:r>
      <w:r>
        <w:rPr/>
        <w:t xml:space="preserve">VHD </w:t>
      </w:r>
      <w:r>
        <w:rPr/>
        <w:t xml:space="preserve">的发病率不断增高。随着我国人口老龄化的加剧，老年性 </w:t>
      </w:r>
      <w:r>
        <w:rPr/>
        <w:t xml:space="preserve">VHD </w:t>
      </w:r>
      <w:r>
        <w:rPr/>
        <w:t xml:space="preserve">导致的经济负担及社会负担逐渐引起研究人员的重视。目前关于老年性 </w:t>
      </w:r>
      <w:r>
        <w:rPr/>
        <w:t xml:space="preserve">VHD </w:t>
      </w:r>
      <w:r>
        <w:rPr/>
        <w:t xml:space="preserve">仍有很多尚待解决的问题。首先，目前我国的研究主要局限于院内患者，但研究发现，社区内 </w:t>
      </w:r>
      <w:r>
        <w:rPr/>
        <w:t xml:space="preserve">65 </w:t>
      </w:r>
      <w:r>
        <w:rPr/>
        <w:t xml:space="preserve">岁以上老年人群中过半数患有未被确诊的轻度及以上的 </w:t>
      </w:r>
      <w:r>
        <w:rPr/>
        <w:t>VHD</w:t>
      </w:r>
      <w:r>
        <w:rPr/>
        <w:t>，其中，</w:t>
      </w:r>
      <w:r>
        <w:rPr/>
        <w:t xml:space="preserve">11.3% </w:t>
      </w:r>
      <w:r>
        <w:rPr/>
        <w:t xml:space="preserve">的老年人群患有未被确诊的中、重度 </w:t>
      </w:r>
      <w:r>
        <w:rPr/>
        <w:t>VHD</w:t>
      </w:r>
      <w:r>
        <w:rPr>
          <w:vertAlign w:val="superscript"/>
        </w:rPr>
        <w:t>[3]</w:t>
      </w:r>
      <w:r>
        <w:rPr/>
        <w:t xml:space="preserve">；我国总体 </w:t>
      </w:r>
      <w:r>
        <w:rPr/>
        <w:t xml:space="preserve">VHD </w:t>
      </w:r>
      <w:r>
        <w:rPr/>
        <w:t xml:space="preserve">负荷目前仍然不明。其次，对 </w:t>
      </w:r>
      <w:r>
        <w:rPr/>
        <w:t xml:space="preserve">VHD </w:t>
      </w:r>
      <w:r>
        <w:rPr/>
        <w:t>的分型还有待细化。有随机对照临床试验</w:t>
      </w:r>
      <w:r>
        <w:rPr>
          <w:vertAlign w:val="superscript"/>
        </w:rPr>
        <w:t>[22]</w:t>
      </w:r>
      <w:r>
        <w:rPr/>
        <w:t xml:space="preserve">发现他汀类药物可能可以减缓 </w:t>
      </w:r>
      <w:r>
        <w:rPr/>
        <w:t xml:space="preserve">CAVD </w:t>
      </w:r>
      <w:r>
        <w:rPr/>
        <w:t>的进展，另有研究发现，</w:t>
      </w:r>
      <w:r>
        <w:rPr/>
        <w:t xml:space="preserve">CAVD </w:t>
      </w:r>
      <w:r>
        <w:rPr/>
        <w:t>可能是由内皮损伤、氧化应激、慢性炎症等多种不同独立因素导致的，并不单纯源于老年性钙盐沉积</w:t>
      </w:r>
      <w:r>
        <w:rPr>
          <w:vertAlign w:val="superscript"/>
        </w:rPr>
        <w:t>[23]</w:t>
      </w:r>
      <w:r>
        <w:rPr/>
        <w:t xml:space="preserve">，因而一些学者认为 </w:t>
      </w:r>
      <w:r>
        <w:rPr/>
        <w:t xml:space="preserve">CAVD </w:t>
      </w:r>
      <w:r>
        <w:rPr/>
        <w:t xml:space="preserve">不属于老年性 </w:t>
      </w:r>
      <w:r>
        <w:rPr/>
        <w:t>VHD</w:t>
      </w:r>
      <w:r>
        <w:rPr/>
        <w:t xml:space="preserve">，其分类有待对 </w:t>
      </w:r>
      <w:r>
        <w:rPr/>
        <w:t xml:space="preserve">CAVD </w:t>
      </w:r>
      <w:r>
        <w:rPr/>
        <w:t xml:space="preserve">发生机制的进一步研究。近年来经导管瓣膜植入的广泛开展扩大了对老年退行性 </w:t>
      </w:r>
      <w:r>
        <w:rPr/>
        <w:t xml:space="preserve">VHD </w:t>
      </w:r>
      <w:r>
        <w:rPr/>
        <w:t xml:space="preserve">患者治疗的选择，但在治疗上目前仅对重度 </w:t>
      </w:r>
      <w:r>
        <w:rPr/>
        <w:t xml:space="preserve">AS </w:t>
      </w:r>
      <w:r>
        <w:rPr/>
        <w:t xml:space="preserve">有充分的临床研究，是否可将相关技术用于其他 </w:t>
      </w:r>
      <w:r>
        <w:rPr/>
        <w:t xml:space="preserve">VHD </w:t>
      </w:r>
      <w:r>
        <w:rPr/>
        <w:t xml:space="preserve">的治疗仍有待进一步探索；随着技术的发展，新一代经导管植入瓣膜的寿命在 </w:t>
      </w:r>
      <w:r>
        <w:rPr/>
        <w:t xml:space="preserve">5 - 6 </w:t>
      </w:r>
      <w:r>
        <w:rPr/>
        <w:t xml:space="preserve">年内可以做到不劣于外科植入瓣膜，但随着早期进行 </w:t>
      </w:r>
      <w:r>
        <w:rPr/>
        <w:t xml:space="preserve">TAVI </w:t>
      </w:r>
      <w:r>
        <w:rPr/>
        <w:t xml:space="preserve">患者瓣膜的退化，如何对退化瓣膜进行处理成为一个棘手的问题。人工瓣膜内 </w:t>
      </w:r>
      <w:r>
        <w:rPr/>
        <w:t xml:space="preserve">TAVI </w:t>
      </w:r>
      <w:r>
        <w:rPr/>
        <w:t xml:space="preserve">与二次 </w:t>
      </w:r>
      <w:r>
        <w:rPr/>
        <w:t xml:space="preserve">SAVR </w:t>
      </w:r>
      <w:r>
        <w:rPr/>
        <w:t>是两种处理退化瓣膜的常用方式。目前国外已有一些对比两种处理的观察性研究</w:t>
      </w:r>
      <w:r>
        <w:rPr>
          <w:vertAlign w:val="superscript"/>
        </w:rPr>
        <w:t>[24,25]</w:t>
      </w:r>
      <w:r>
        <w:rPr/>
        <w:t xml:space="preserve">，但仍缺乏相关的临床试验，采用不同方式对患者中远期预后的影响仍有待进一步研究。未来如何延长经导管植入瓣膜的有效寿命是亟待解决的重要课题；是否有可能通过改进经导管植入瓣膜以完成多次 </w:t>
      </w:r>
      <w:r>
        <w:rPr/>
        <w:t>TAVI</w:t>
      </w:r>
      <w:r>
        <w:rPr/>
        <w:t xml:space="preserve">，从而替代 </w:t>
      </w:r>
      <w:r>
        <w:rPr/>
        <w:t xml:space="preserve">SAVR </w:t>
      </w:r>
      <w:r>
        <w:rPr/>
        <w:t>可能也成为研究的主要方向。</w:t>
      </w:r>
    </w:p>
    <w:p>
      <w:pPr>
        <w:pStyle w:val="TableofAuthorities"/>
        <w:rPr/>
      </w:pPr>
      <w:r>
        <w:rPr/>
        <w:t>参考文献</w:t>
      </w:r>
    </w:p>
    <w:p>
      <w:pPr>
        <w:pStyle w:val="Bibliography"/>
        <w:numPr>
          <w:ilvl w:val="0"/>
          <w:numId w:val="2"/>
        </w:numPr>
        <w:rPr/>
      </w:pPr>
      <w:r>
        <w:rPr/>
        <w:t>Nkomo V T, Gardin J M, Skelton T N, et al. Burden of valvular heart diseases: A population-based study[J]. The Lancet, Elsevier, 2006, 368(9540): 1005–1011.</w:t>
      </w:r>
      <w:bookmarkStart w:id="5" w:name="ref-nkomoBurdenValvularHeart2006"/>
      <w:bookmarkEnd w:id="5"/>
    </w:p>
    <w:p>
      <w:pPr>
        <w:pStyle w:val="Bibliography"/>
        <w:numPr>
          <w:ilvl w:val="0"/>
          <w:numId w:val="2"/>
        </w:numPr>
        <w:rPr/>
      </w:pPr>
      <w:r>
        <w:rPr/>
        <w:t>Chen J, Li W, Xiang M. Burden of valvular heart disease, 1990-2017: Results from the Global Burden of Disease Study 2017[J]. Journal of Global Health, 2020, 10(2): 020404.</w:t>
      </w:r>
      <w:bookmarkStart w:id="6" w:name="ref-chenBurdenValvularHeart2020a"/>
      <w:bookmarkEnd w:id="6"/>
    </w:p>
    <w:p>
      <w:pPr>
        <w:pStyle w:val="Bibliography"/>
        <w:numPr>
          <w:ilvl w:val="0"/>
          <w:numId w:val="2"/>
        </w:numPr>
        <w:rPr/>
      </w:pPr>
      <w:r>
        <w:rPr/>
        <w:t>d’Arcy J L, Coffey S, Loudon M A, et al. Large-scale community echocardiographic screening reveals a major burden of undiagnosed valvular heart disease in older people: The OxVALVE Population Cohort Study[J]. European Heart Journal, 2016, 37(47): 3515–3522.</w:t>
      </w:r>
      <w:bookmarkStart w:id="7" w:name="Xe00420aa2b168e185ec7b6c6155bf9a6878a0de"/>
      <w:bookmarkEnd w:id="7"/>
    </w:p>
    <w:p>
      <w:pPr>
        <w:pStyle w:val="Bibliography"/>
        <w:numPr>
          <w:ilvl w:val="0"/>
          <w:numId w:val="2"/>
        </w:numPr>
        <w:rPr/>
      </w:pPr>
      <w:r>
        <w:rPr/>
        <w:t>Liu F-Z, Xue Y-M, Liao H-T, et al. Five-year epidemiological survey of valvular heart disease: Changes in morbidity, etiological spectrum and management in a cardiovascular center of Southern China[J]. Journal of Thoracic Disease, 2014, 6(12): 1724–1730.</w:t>
      </w:r>
      <w:bookmarkStart w:id="8" w:name="ref-liuFiveyearEpidemiologicalSurvey2014"/>
      <w:bookmarkEnd w:id="8"/>
    </w:p>
    <w:p>
      <w:pPr>
        <w:pStyle w:val="Bibliography"/>
        <w:numPr>
          <w:ilvl w:val="0"/>
          <w:numId w:val="2"/>
        </w:numPr>
        <w:rPr/>
      </w:pPr>
      <w:r>
        <w:rPr/>
        <w:t>Andell P, Li X, Martinsson A, et al. Epidemiology of valvular heart disease in a Swedish nationwide hospital-based register study[J]. Heart (British Cardiac Society), 2017, 103(21): 1696–1703.</w:t>
      </w:r>
      <w:bookmarkStart w:id="9" w:name="ref-andellEpidemiologyValvularHeart2017"/>
      <w:bookmarkEnd w:id="9"/>
    </w:p>
    <w:p>
      <w:pPr>
        <w:pStyle w:val="Bibliography"/>
        <w:numPr>
          <w:ilvl w:val="0"/>
          <w:numId w:val="2"/>
        </w:numPr>
        <w:rPr/>
      </w:pPr>
      <w:r>
        <w:rPr/>
        <w:t>Hu P, Liu X-B, Liang J, et al. A hospital-based survey of patients with severe valvular heart disease in China[J]. International Journal of Cardiology, 2017, 231: 244–247.</w:t>
      </w:r>
      <w:bookmarkStart w:id="10" w:name="ref-huHospitalbasedSurveyPatients2017"/>
      <w:bookmarkEnd w:id="10"/>
    </w:p>
    <w:p>
      <w:pPr>
        <w:pStyle w:val="Bibliography"/>
        <w:numPr>
          <w:ilvl w:val="0"/>
          <w:numId w:val="2"/>
        </w:numPr>
        <w:rPr/>
      </w:pPr>
      <w:r>
        <w:rPr/>
        <w:t>He S, Deng H, Jiang J, et al. The Evolving Epidemiology of Elderly with Degenerative Valvular Heart Disease: The Guangzhou (China) Heart Study[J]. BioMed Research International, 2021, 2021: 9982569.</w:t>
      </w:r>
      <w:bookmarkStart w:id="11" w:name="ref-heEvolvingEpidemiologyElderly2021a"/>
      <w:bookmarkEnd w:id="11"/>
    </w:p>
    <w:p>
      <w:pPr>
        <w:pStyle w:val="Bibliography"/>
        <w:numPr>
          <w:ilvl w:val="0"/>
          <w:numId w:val="2"/>
        </w:numPr>
        <w:rPr/>
      </w:pPr>
      <w:r>
        <w:rPr/>
        <w:t>叶蕴青</w:t>
      </w:r>
      <w:r>
        <w:rPr/>
        <w:t xml:space="preserve">, </w:t>
      </w:r>
      <w:r>
        <w:rPr/>
        <w:t>许海燕</w:t>
      </w:r>
      <w:r>
        <w:rPr/>
        <w:t xml:space="preserve">, </w:t>
      </w:r>
      <w:r>
        <w:rPr/>
        <w:t>李喆</w:t>
      </w:r>
      <w:r>
        <w:rPr/>
        <w:t xml:space="preserve">, </w:t>
      </w:r>
      <w:r>
        <w:rPr>
          <w:rFonts w:ascii="Open Sans" w:hAnsi="Open Sans" w:cs="宋体" w:cstheme="minorBidi"/>
          <w:b w:val="false"/>
          <w:bCs w:val="false"/>
          <w:color w:val="auto"/>
          <w:spacing w:val="0"/>
          <w:kern w:val="0"/>
          <w:sz w:val="18"/>
          <w:szCs w:val="22"/>
          <w:lang w:val="en-US" w:eastAsia="zh-CN" w:bidi="ar-SA"/>
        </w:rPr>
        <w:t>等</w:t>
      </w:r>
      <w:r>
        <w:rPr/>
        <w:t xml:space="preserve">. </w:t>
      </w:r>
      <w:r>
        <w:rPr/>
        <w:t>中国不同区域老年瓣膜性心脏病构成和病因分析</w:t>
      </w:r>
      <w:r>
        <w:rPr/>
        <w:t xml:space="preserve">[J]. </w:t>
      </w:r>
      <w:r>
        <w:rPr/>
        <w:t>中华老年心脑血管病杂志</w:t>
      </w:r>
      <w:r>
        <w:rPr/>
        <w:t>, 2019, 21(7): 676–682.</w:t>
      </w:r>
      <w:bookmarkStart w:id="12" w:name="Xbb7c5b7e5342e9103223ac7fe78bf5bae379478"/>
      <w:bookmarkEnd w:id="12"/>
    </w:p>
    <w:p>
      <w:pPr>
        <w:pStyle w:val="Bibliography"/>
        <w:numPr>
          <w:ilvl w:val="0"/>
          <w:numId w:val="2"/>
        </w:numPr>
        <w:rPr/>
      </w:pPr>
      <w:r>
        <w:rPr/>
        <w:t>Yadgir S, Johnson C O, Aboyans V, et al. Global, Regional, and National Burden of Calcific Aortic Valve and Degenerative Mitral Valve Diseases, 1990–2017[J]. Circulation, 2020, 141(21): 1670–1680.</w:t>
      </w:r>
      <w:bookmarkStart w:id="13" w:name="ref-yadgirGlobalRegionalNational2020"/>
      <w:bookmarkEnd w:id="13"/>
    </w:p>
    <w:p>
      <w:pPr>
        <w:pStyle w:val="Bibliography"/>
        <w:numPr>
          <w:ilvl w:val="0"/>
          <w:numId w:val="2"/>
        </w:numPr>
        <w:rPr/>
      </w:pPr>
      <w:r>
        <w:rPr/>
        <w:t>Nalliah C J, Mahajan R, Elliott A D, et al. Mitral valve prolapse and sudden cardiac death: A systematic review and meta-analysis[J]. Heart (British Cardiac Society), 2019, 105(2): 144–151.</w:t>
      </w:r>
      <w:bookmarkStart w:id="14" w:name="ref-nalliahMitralValveProlapse2019"/>
      <w:bookmarkEnd w:id="14"/>
    </w:p>
    <w:p>
      <w:pPr>
        <w:pStyle w:val="Bibliography"/>
        <w:numPr>
          <w:ilvl w:val="0"/>
          <w:numId w:val="2"/>
        </w:numPr>
        <w:rPr/>
      </w:pPr>
      <w:r>
        <w:rPr/>
        <w:t>Anyanwu A C, Adams D H. Etiologic Classification of Degenerative Mitral Valve Disease: Barlow’s Disease and Fibroelastic Deficiency[J]. Seminars in Thoracic and Cardiovascular Surgery, 2007, 19(2): 90–96.</w:t>
      </w:r>
      <w:bookmarkStart w:id="15" w:name="X30516533e340b79251fc8335ccecf634a290435"/>
      <w:bookmarkEnd w:id="15"/>
    </w:p>
    <w:p>
      <w:pPr>
        <w:pStyle w:val="Bibliography"/>
        <w:numPr>
          <w:ilvl w:val="0"/>
          <w:numId w:val="2"/>
        </w:numPr>
        <w:rPr/>
      </w:pPr>
      <w:r>
        <w:rPr/>
        <w:t>Monteagudo Ruiz J M, Galderisi M, Buonauro A, et al. Overview of mitral regurgitation in Europe: Results from the European Registry of mitral regurgitation (EuMiClip)[J]. European Heart Journal Cardiovascular Imaging, 2018, 19(5): 503–507.</w:t>
      </w:r>
      <w:bookmarkStart w:id="16" w:name="X72a2945717ce7e3de067a4e46bb522bc985f13e"/>
      <w:bookmarkEnd w:id="16"/>
    </w:p>
    <w:p>
      <w:pPr>
        <w:pStyle w:val="Bibliography"/>
        <w:numPr>
          <w:ilvl w:val="0"/>
          <w:numId w:val="2"/>
        </w:numPr>
        <w:rPr/>
      </w:pPr>
      <w:r>
        <w:rPr/>
        <w:t>Delling F N, Rong J, Larson M G, et al. Evolution of Mitral Valve Prolapse: Insights From the Framingham Heart Study[J]. Circulation, 2016, 133(17): 1688–1695.</w:t>
      </w:r>
      <w:bookmarkStart w:id="17" w:name="ref-dellingEvolutionMitralValve2016"/>
      <w:bookmarkEnd w:id="17"/>
    </w:p>
    <w:p>
      <w:pPr>
        <w:pStyle w:val="Bibliography"/>
        <w:numPr>
          <w:ilvl w:val="0"/>
          <w:numId w:val="2"/>
        </w:numPr>
        <w:rPr/>
      </w:pPr>
      <w:r>
        <w:rPr/>
        <w:t>Iung B, Baron G, Butchart E G, et al. A prospective survey of patients with valvular heart disease in Europe: The Euro Heart Survey on Valvular Heart Disease[J]. European Heart Journal, 2003, 24(13): 1231–1243.</w:t>
      </w:r>
      <w:bookmarkStart w:id="18" w:name="ref-iungProspectiveSurveyPatients2003"/>
      <w:bookmarkEnd w:id="18"/>
    </w:p>
    <w:p>
      <w:pPr>
        <w:pStyle w:val="Bibliography"/>
        <w:numPr>
          <w:ilvl w:val="0"/>
          <w:numId w:val="2"/>
        </w:numPr>
        <w:rPr/>
      </w:pPr>
      <w:r>
        <w:rPr/>
        <w:t>Leon M B, Smith C R, Mack M J, et al. Transcatheter or Surgical Aortic-Valve Replacement in Intermediate-Risk Patients[J]. New England Journal of Medicine, 2016, 374(17): 1609–1620.</w:t>
      </w:r>
      <w:bookmarkStart w:id="19" w:name="Xb35872ed613b9084c26bf01a4ef747ce63866d8"/>
      <w:bookmarkEnd w:id="19"/>
    </w:p>
    <w:p>
      <w:pPr>
        <w:pStyle w:val="Bibliography"/>
        <w:numPr>
          <w:ilvl w:val="0"/>
          <w:numId w:val="2"/>
        </w:numPr>
        <w:rPr/>
      </w:pPr>
      <w:r>
        <w:rPr/>
        <w:t>Summers M R, Leon M B, Smith C R, et al. Prosthetic Valve Endocarditis After TAVR and SAVR: Insights From the PARTNER Trials[J]. Circulation, 2019, 140(24): 1984–1994.</w:t>
      </w:r>
      <w:bookmarkStart w:id="20" w:name="Xe2d6131ec5ed055a677c241c6b7a6d69ba78d1f"/>
      <w:bookmarkEnd w:id="20"/>
    </w:p>
    <w:p>
      <w:pPr>
        <w:pStyle w:val="Bibliography"/>
        <w:numPr>
          <w:ilvl w:val="0"/>
          <w:numId w:val="2"/>
        </w:numPr>
        <w:rPr/>
      </w:pPr>
      <w:r>
        <w:rPr/>
        <w:t>Tzamalis P, Alataki S, Bramlage P, et al. Comparison of Valve Durability and Outcomes of Transcatheter Aortic Valve Implantation Versus Surgical Aortic Valve Replacement in Patients With Severe Symptomatic Aortic Stenosis and Less-Than-High-Risk for Surgery[J]. The American Journal of Cardiology, 2020, 125(8): 1202–1208.</w:t>
      </w:r>
      <w:bookmarkStart w:id="21" w:name="Xaebbd419922881cfe00d260bb514fcc59efe36b"/>
      <w:bookmarkEnd w:id="21"/>
    </w:p>
    <w:p>
      <w:pPr>
        <w:pStyle w:val="Bibliography"/>
        <w:numPr>
          <w:ilvl w:val="0"/>
          <w:numId w:val="2"/>
        </w:numPr>
        <w:rPr/>
      </w:pPr>
      <w:r>
        <w:rPr/>
        <w:t>Pibarot P, Ternacle J, Jaber W A, et al. Structural Deterioration of Transcatheter Versus Surgical Aortic Valve Bioprostheses in the PARTNER-2 Trial[J]. Journal of the American College of Cardiology, 2020, 76(16): 1830–1843.</w:t>
      </w:r>
      <w:bookmarkStart w:id="22" w:name="Xcc1b582c0d2ed39ddef8d67ac47e47ce0960b09"/>
      <w:bookmarkEnd w:id="22"/>
    </w:p>
    <w:p>
      <w:pPr>
        <w:pStyle w:val="Bibliography"/>
        <w:numPr>
          <w:ilvl w:val="0"/>
          <w:numId w:val="2"/>
        </w:numPr>
        <w:rPr/>
      </w:pPr>
      <w:r>
        <w:rPr/>
        <w:t>Søndergaard L, Ihlemann N, Capodanno D, et al. Durability of Transcatheter and Surgical Bioprosthetic Aortic Valves in Patients at Lower Surgical Risk[J]. Journal of the American College of Cardiology, 2019, 73(5): 546–553.</w:t>
      </w:r>
      <w:bookmarkStart w:id="23" w:name="X49f9093a6615d072a0728ce0af92dcac6536e72"/>
      <w:bookmarkEnd w:id="23"/>
    </w:p>
    <w:p>
      <w:pPr>
        <w:pStyle w:val="Bibliography"/>
        <w:numPr>
          <w:ilvl w:val="0"/>
          <w:numId w:val="2"/>
        </w:numPr>
        <w:rPr/>
      </w:pPr>
      <w:r>
        <w:rPr/>
        <w:t>Feldman T, Kar S, Elmariah S, et al. Randomized Comparison of Percutaneous Repair and Surgery for Mitral Regurgitation: 5-Year Results of EVEREST II[J]. Journal of the American College of Cardiology, 2015, 66(25): 2844–2854.</w:t>
      </w:r>
      <w:bookmarkStart w:id="24" w:name="Xc30eb8193a6e14786a33ce993715b69d30bda4b"/>
      <w:bookmarkEnd w:id="24"/>
    </w:p>
    <w:p>
      <w:pPr>
        <w:pStyle w:val="Bibliography"/>
        <w:numPr>
          <w:ilvl w:val="0"/>
          <w:numId w:val="2"/>
        </w:numPr>
        <w:rPr/>
      </w:pPr>
      <w:r>
        <w:rPr/>
        <w:t>Arnold S V, Chinnakondepalli K M, Spertus J A, et al. Health Status After Transcatheter Mitral-Valve Repair in Heart Failure and Secondary Mitral Regurgitation: COAPT Trial[J]. Journal of the American College of Cardiology, 2019, 73(17): 2123–2132.</w:t>
      </w:r>
      <w:bookmarkStart w:id="25" w:name="ref-arnoldHealthStatusTranscatheter2019"/>
      <w:bookmarkEnd w:id="25"/>
    </w:p>
    <w:p>
      <w:pPr>
        <w:pStyle w:val="Bibliography"/>
        <w:numPr>
          <w:ilvl w:val="0"/>
          <w:numId w:val="2"/>
        </w:numPr>
        <w:rPr/>
      </w:pPr>
      <w:r>
        <w:rPr/>
        <w:t>Moura L M, Ramos S F, Zamorano J L, et al. Rosuvastatin affecting aortic valve endothelium to slow the progression of aortic stenosis[J]. Journal of the American College of Cardiology, 2007, 49(5): 554–561.</w:t>
      </w:r>
      <w:bookmarkStart w:id="26" w:name="ref-mouraRosuvastatinAffectingAortic2007"/>
      <w:bookmarkEnd w:id="26"/>
    </w:p>
    <w:p>
      <w:pPr>
        <w:pStyle w:val="Bibliography"/>
        <w:numPr>
          <w:ilvl w:val="0"/>
          <w:numId w:val="2"/>
        </w:numPr>
        <w:rPr/>
      </w:pPr>
      <w:r>
        <w:rPr/>
        <w:t>Rajamannan N M, Evans F J, Aikawa E, et al. Calcific aortic valve disease: Not simply a degenerative process: A review and agenda for research from the National Heart and Lung and Blood Institute Aortic Stenosis Working Group. Executive summary: Calcific aortic valve disease-2011 update[J]. Circulation, 2011, 124(16): 1783–1791.</w:t>
      </w:r>
      <w:bookmarkStart w:id="27" w:name="ref-rajamannanCalcificAorticValve2011"/>
      <w:bookmarkEnd w:id="27"/>
    </w:p>
    <w:p>
      <w:pPr>
        <w:pStyle w:val="Bibliography"/>
        <w:numPr>
          <w:ilvl w:val="0"/>
          <w:numId w:val="2"/>
        </w:numPr>
        <w:rPr/>
      </w:pPr>
      <w:r>
        <w:rPr/>
        <w:t>Malik A H, Yandrapalli S, Zaid S, et al. Valve-in-Valve Transcatheter Implantation Versus Redo Surgical Aortic Valve Replacement[J]. The American Journal of Cardiology, 2020, 125(9): 1378–1384.</w:t>
      </w:r>
      <w:bookmarkStart w:id="28" w:name="X5fa981b7ebcb95326aa9efa8fb2621d7730ef9f"/>
      <w:bookmarkEnd w:id="28"/>
    </w:p>
    <w:p>
      <w:pPr>
        <w:pStyle w:val="Bibliography"/>
        <w:numPr>
          <w:ilvl w:val="0"/>
          <w:numId w:val="2"/>
        </w:numPr>
        <w:rPr/>
      </w:pPr>
      <w:r>
        <w:rPr/>
        <w:t>Sedeek A F, Greason K L, Sandhu G S, et al. Transcatheter Valve-in-Valve Vs Surgical Replacement of Failing Stented Aortic Biological Valves[J]. The Annals of Thoracic Surgery, 2019, 108(2): 424–430.</w:t>
      </w:r>
    </w:p>
    <w:sectPr>
      <w:footerReference w:type="even" r:id="rId5"/>
      <w:footerReference w:type="default" r:id="rId6"/>
      <w:type w:val="nextPage"/>
      <w:pgSz w:w="12240" w:h="15840"/>
      <w:pgMar w:left="1440" w:right="1440" w:header="0" w:top="1440" w:footer="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Noto Sans CJK SC">
    <w:charset w:val="01"/>
    <w:family w:val="roman"/>
    <w:pitch w:val="variable"/>
  </w:font>
  <w:font w:name="Open Sans">
    <w:charset w:val="01"/>
    <w:family w:val="roman"/>
    <w:pitch w:val="variable"/>
  </w:font>
  <w:font w:name="Consolas">
    <w:charset w:val="01"/>
    <w:family w:val="roman"/>
    <w:pitch w:val="variable"/>
  </w:font>
  <w:font w:name="OpenSymbol">
    <w:altName w:val="Arial Unicode MS"/>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作者单位：江苏省南京市，南京医科大学第一临床医学院（谢祯晖）；上海市松江区中心医院心内科（陈长源）</w:t>
    </w:r>
  </w:p>
  <w:p>
    <w:pPr>
      <w:pStyle w:val="Footer"/>
      <w:rPr/>
    </w:pPr>
    <w:r>
      <w:rPr/>
      <w:t xml:space="preserve">作者简介：谢祯晖 本科 临床专业 </w:t>
    </w:r>
    <w:r>
      <w:rPr/>
      <w:t xml:space="preserve">Email:xiezh0831@yahoo.co.jp  </w:t>
    </w:r>
    <w:r>
      <w:rPr/>
      <w:t xml:space="preserve">通讯作者：陈长源 </w:t>
    </w:r>
    <w:r>
      <w:rPr/>
      <w:t>Email:chenchangyuan.75@163.com</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0" w:hanging="0"/>
      </w:pPr>
      <w:rPr>
        <w:sz w:val="20"/>
        <w:b/>
        <w:rFonts w:ascii="Open Sans" w:hAnsi="Open Sans" w:eastAsia="Open Sans"/>
        <w:lang w:eastAsia="zh-CN"/>
      </w:rPr>
    </w:lvl>
    <w:lvl w:ilvl="1">
      <w:start w:val="1"/>
      <w:pStyle w:val="Heading2"/>
      <w:numFmt w:val="decimal"/>
      <w:suff w:val="space"/>
      <w:lvlText w:val="%1.%2"/>
      <w:lvlJc w:val="left"/>
      <w:pPr>
        <w:tabs>
          <w:tab w:val="num" w:pos="0"/>
        </w:tabs>
        <w:ind w:left="0" w:hanging="0"/>
      </w:pPr>
      <w:rPr>
        <w:sz w:val="20"/>
        <w:b/>
        <w:rFonts w:ascii="Open Sans" w:hAnsi="Open Sans" w:eastAsia="Open Sans"/>
        <w:lang w:eastAsia="zh-CN"/>
      </w:rPr>
    </w:lvl>
    <w:lvl w:ilvl="2">
      <w:start w:val="1"/>
      <w:pStyle w:val="Heading3"/>
      <w:numFmt w:val="decimal"/>
      <w:suff w:val="space"/>
      <w:lvlText w:val="%1.%2.%3"/>
      <w:lvlJc w:val="left"/>
      <w:pPr>
        <w:tabs>
          <w:tab w:val="num" w:pos="0"/>
        </w:tabs>
        <w:ind w:left="0" w:hanging="0"/>
      </w:pPr>
      <w:rPr>
        <w:sz w:val="20"/>
        <w:b/>
        <w:rFonts w:ascii="Open Sans" w:hAnsi="Open Sans" w:eastAsia="Open Sans"/>
        <w:lang w:eastAsia="zh-CN"/>
      </w:r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right"/>
      <w:pPr>
        <w:tabs>
          <w:tab w:val="num" w:pos="518"/>
        </w:tabs>
        <w:ind w:left="518" w:hanging="288"/>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num w:numId="1">
    <w:abstractNumId w:val="1"/>
  </w:num>
  <w:num w:numId="2">
    <w:abstractNumId w:val="2"/>
  </w:num>
</w:numbering>
</file>

<file path=word/settings.xml><?xml version="1.0" encoding="utf-8"?>
<w:settings xmlns:w="http://schemas.openxmlformats.org/wordprocessingml/2006/main">
  <w:zoom w:percent="125"/>
  <w:embedSystemFonts/>
  <w:defaultTabStop w:val="720"/>
  <w:autoHyphenation w:val="true"/>
  <w:evenAndOddHeaders/>
  <w:compat>
    <w:doNotExpandShiftReturn/>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宋体"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Noto Sans CJK SC" w:hAnsi="Noto Sans CJK SC" w:eastAsia="Cambria" w:cs="宋体"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lineRule="auto" w:line="240" w:before="0" w:after="0"/>
      <w:ind w:left="0" w:right="0" w:hanging="0"/>
      <w:jc w:val="left"/>
      <w:outlineLvl w:val="0"/>
    </w:pPr>
    <w:rPr>
      <w:rFonts w:ascii="Noto Sans CJK SC" w:hAnsi="Noto Sans CJK SC" w:eastAsia="Noto Sans CJK SC" w:cs="宋体" w:cstheme="majorBidi"/>
      <w:b/>
      <w:bCs w:val="false"/>
      <w:color w:val="000000"/>
      <w:sz w:val="20"/>
      <w:szCs w:val="24"/>
      <w:lang w:eastAsia="zh-CN"/>
    </w:rPr>
  </w:style>
  <w:style w:type="paragraph" w:styleId="Heading2">
    <w:name w:val="Heading 2"/>
    <w:basedOn w:val="Normal"/>
    <w:next w:val="TextBody"/>
    <w:uiPriority w:val="9"/>
    <w:unhideWhenUsed/>
    <w:qFormat/>
    <w:pPr>
      <w:keepNext w:val="true"/>
      <w:keepLines/>
      <w:numPr>
        <w:ilvl w:val="1"/>
        <w:numId w:val="1"/>
      </w:numPr>
      <w:spacing w:lineRule="auto" w:line="240" w:before="0" w:after="0"/>
      <w:ind w:left="0" w:right="0" w:hanging="0"/>
      <w:jc w:val="left"/>
      <w:outlineLvl w:val="1"/>
    </w:pPr>
    <w:rPr>
      <w:rFonts w:ascii="Open Sans" w:hAnsi="Open Sans" w:eastAsia="Noto Sans CJK SC" w:cs="宋体" w:cstheme="majorBidi"/>
      <w:b w:val="false"/>
      <w:bCs w:val="false"/>
      <w:color w:val="000000"/>
      <w:sz w:val="20"/>
      <w:szCs w:val="24"/>
      <w:lang w:eastAsia="zh-CN"/>
    </w:rPr>
  </w:style>
  <w:style w:type="paragraph" w:styleId="Heading3">
    <w:name w:val="Heading 3"/>
    <w:basedOn w:val="Normal"/>
    <w:next w:val="TextBody"/>
    <w:uiPriority w:val="9"/>
    <w:unhideWhenUsed/>
    <w:qFormat/>
    <w:pPr>
      <w:keepNext w:val="true"/>
      <w:keepLines/>
      <w:numPr>
        <w:ilvl w:val="2"/>
        <w:numId w:val="1"/>
      </w:numPr>
      <w:spacing w:lineRule="auto" w:line="240" w:before="0" w:after="0"/>
      <w:ind w:left="0" w:right="0" w:hanging="0"/>
      <w:jc w:val="left"/>
      <w:outlineLvl w:val="2"/>
    </w:pPr>
    <w:rPr>
      <w:rFonts w:ascii="Noto Sans CJK SC" w:hAnsi="Noto Sans CJK SC" w:eastAsia="Noto Sans CJK SC" w:cs="宋体" w:cstheme="majorBidi"/>
      <w:b w:val="false"/>
      <w:bCs w:val="false"/>
      <w:color w:val="000000"/>
      <w:sz w:val="20"/>
      <w:szCs w:val="24"/>
      <w:lang w:eastAsia="zh-CN"/>
    </w:rPr>
  </w:style>
  <w:style w:type="paragraph" w:styleId="Heading4">
    <w:name w:val="Heading 4"/>
    <w:basedOn w:val="Normal"/>
    <w:next w:val="TextBody"/>
    <w:uiPriority w:val="9"/>
    <w:unhideWhenUsed/>
    <w:qFormat/>
    <w:pPr>
      <w:keepNext w:val="true"/>
      <w:keepLines/>
      <w:spacing w:before="200" w:after="0"/>
      <w:jc w:val="left"/>
      <w:outlineLvl w:val="3"/>
    </w:pPr>
    <w:rPr>
      <w:rFonts w:ascii="Noto Sans CJK SC" w:hAnsi="Noto Sans CJK SC" w:eastAsia="" w:cs="宋体" w:cstheme="majorBidi" w:eastAsiaTheme="majorEastAsia"/>
      <w:b w:val="false"/>
      <w:bCs w:val="false"/>
      <w:i/>
      <w:color w:val="000000"/>
      <w:sz w:val="24"/>
      <w:szCs w:val="24"/>
    </w:rPr>
  </w:style>
  <w:style w:type="paragraph" w:styleId="Heading5">
    <w:name w:val="Heading 5"/>
    <w:basedOn w:val="Normal"/>
    <w:next w:val="TextBody"/>
    <w:uiPriority w:val="9"/>
    <w:unhideWhenUsed/>
    <w:qFormat/>
    <w:pPr>
      <w:keepNext w:val="true"/>
      <w:keepLines/>
      <w:spacing w:before="200" w:after="0"/>
      <w:jc w:val="left"/>
      <w:outlineLvl w:val="4"/>
    </w:pPr>
    <w:rPr>
      <w:rFonts w:ascii="Noto Sans CJK SC" w:hAnsi="Noto Sans CJK SC" w:eastAsia="" w:cs="宋体"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spacing w:before="200" w:after="0"/>
      <w:jc w:val="left"/>
      <w:outlineLvl w:val="5"/>
    </w:pPr>
    <w:rPr>
      <w:rFonts w:ascii="Noto Sans CJK SC" w:hAnsi="Noto Sans CJK SC" w:eastAsia="" w:cs="宋体" w:cstheme="majorBidi" w:eastAsiaTheme="majorEastAsia"/>
      <w:color w:val="000000"/>
      <w:sz w:val="24"/>
      <w:szCs w:val="24"/>
    </w:rPr>
  </w:style>
  <w:style w:type="paragraph" w:styleId="Heading7">
    <w:name w:val="Heading 7"/>
    <w:basedOn w:val="Normal"/>
    <w:next w:val="TextBody"/>
    <w:uiPriority w:val="9"/>
    <w:unhideWhenUsed/>
    <w:qFormat/>
    <w:pPr>
      <w:keepNext w:val="true"/>
      <w:keepLines/>
      <w:spacing w:before="200" w:after="0"/>
      <w:jc w:val="left"/>
      <w:outlineLvl w:val="6"/>
    </w:pPr>
    <w:rPr>
      <w:rFonts w:ascii="Noto Sans CJK SC" w:hAnsi="Noto Sans CJK SC" w:eastAsia="" w:cs="宋体" w:cstheme="majorBidi" w:eastAsiaTheme="majorEastAsia"/>
      <w:color w:val="000000"/>
      <w:sz w:val="24"/>
      <w:szCs w:val="24"/>
    </w:rPr>
  </w:style>
  <w:style w:type="paragraph" w:styleId="Heading8">
    <w:name w:val="Heading 8"/>
    <w:basedOn w:val="Normal"/>
    <w:next w:val="TextBody"/>
    <w:uiPriority w:val="9"/>
    <w:unhideWhenUsed/>
    <w:qFormat/>
    <w:pPr>
      <w:keepNext w:val="true"/>
      <w:keepLines/>
      <w:spacing w:before="200" w:after="0"/>
      <w:jc w:val="left"/>
      <w:outlineLvl w:val="7"/>
    </w:pPr>
    <w:rPr>
      <w:rFonts w:ascii="Noto Sans CJK SC" w:hAnsi="Noto Sans CJK SC" w:eastAsia="" w:cs="宋体" w:cstheme="majorBidi" w:eastAsiaTheme="majorEastAsia"/>
      <w:color w:val="000000"/>
      <w:sz w:val="24"/>
      <w:szCs w:val="24"/>
    </w:rPr>
  </w:style>
  <w:style w:type="paragraph" w:styleId="Heading9">
    <w:name w:val="Heading 9"/>
    <w:basedOn w:val="Normal"/>
    <w:next w:val="TextBody"/>
    <w:uiPriority w:val="9"/>
    <w:unhideWhenUsed/>
    <w:qFormat/>
    <w:pPr>
      <w:keepNext w:val="true"/>
      <w:keepLines/>
      <w:spacing w:before="200" w:after="0"/>
      <w:jc w:val="left"/>
      <w:outlineLvl w:val="8"/>
    </w:pPr>
    <w:rPr>
      <w:rFonts w:ascii="Noto Sans CJK SC" w:hAnsi="Noto Sans CJK SC" w:eastAsia="" w:cs="宋体"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eadingNumbers">
    <w:name w:val="Heading Numbers"/>
    <w:basedOn w:val="Bullets"/>
    <w:qFormat/>
    <w:rPr>
      <w:rFonts w:ascii="Open Sans" w:hAnsi="Open Sans" w:eastAsia="Open Sans"/>
      <w:b/>
      <w:sz w:val="20"/>
      <w:lang w:eastAsia="zh-CN"/>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Noto Sans CJK SC" w:hAnsi="Noto Sans CJK SC" w:eastAsia="Noto Sans CJK SC" w:cs="DejaVu Sans"/>
      <w:sz w:val="28"/>
      <w:szCs w:val="28"/>
    </w:rPr>
  </w:style>
  <w:style w:type="paragraph" w:styleId="TextBody">
    <w:name w:val="Body Text"/>
    <w:basedOn w:val="Normal"/>
    <w:link w:val="BodyTextChar"/>
    <w:qFormat/>
    <w:pPr>
      <w:spacing w:before="0" w:after="0"/>
      <w:ind w:left="0" w:right="0" w:firstLine="461"/>
      <w:jc w:val="both"/>
    </w:pPr>
    <w:rPr>
      <w:rFonts w:ascii="Noto Sans CJK SC" w:hAnsi="Noto Sans CJK SC" w:eastAsia="Noto Sans CJK SC"/>
      <w:sz w:val="20"/>
      <w:lang w:eastAsia="zh-CN"/>
    </w:rPr>
  </w:style>
  <w:style w:type="paragraph" w:styleId="List">
    <w:name w:val="List"/>
    <w:basedOn w:val="TextBody"/>
    <w:pPr/>
    <w:rPr>
      <w:rFonts w:cs="DejaVu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ejaVu Sans"/>
    </w:rPr>
  </w:style>
  <w:style w:type="paragraph" w:styleId="FirstParagraph" w:customStyle="1">
    <w:name w:val="First Paragraph"/>
    <w:basedOn w:val="TextBody"/>
    <w:next w:val="TextBody"/>
    <w:qFormat/>
    <w:pPr>
      <w:spacing w:lineRule="auto" w:line="240" w:before="0" w:after="0"/>
      <w:ind w:left="0" w:right="0" w:firstLine="461"/>
      <w:jc w:val="both"/>
    </w:pPr>
    <w:rPr>
      <w:rFonts w:ascii="Noto Sans CJK SC" w:hAnsi="Noto Sans CJK SC" w:eastAsia="Noto Sans CJK SC"/>
      <w:color w:val="000000"/>
      <w:sz w:val="20"/>
      <w:lang w:eastAsia="zh-C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0" w:after="245"/>
      <w:ind w:left="518" w:right="0" w:hanging="0"/>
      <w:jc w:val="left"/>
    </w:pPr>
    <w:rPr>
      <w:rFonts w:ascii="Noto Sans CJK SC" w:hAnsi="Noto Sans CJK SC" w:eastAsia="Noto Sans CJK SC" w:cs="宋体" w:cstheme="majorBidi"/>
      <w:b/>
      <w:bCs/>
      <w:color w:val="000000" w:themeShade="b5"/>
      <w:sz w:val="32"/>
      <w:szCs w:val="36"/>
      <w:lang w:eastAsia="zh-CN"/>
    </w:rPr>
  </w:style>
  <w:style w:type="paragraph" w:styleId="Subtitle">
    <w:name w:val="Subtitle"/>
    <w:basedOn w:val="Title"/>
    <w:next w:val="TextBody"/>
    <w:qFormat/>
    <w:pPr>
      <w:keepNext w:val="true"/>
      <w:keepLines/>
      <w:spacing w:before="144" w:after="0"/>
      <w:jc w:val="center"/>
    </w:pPr>
    <w:rPr>
      <w:rFonts w:ascii="Open Sans" w:hAnsi="Open Sans" w:eastAsia="Noto Sans CJK SC" w:cs="宋体"/>
      <w:b/>
      <w:bCs/>
      <w:color w:val="000000"/>
      <w:kern w:val="0"/>
      <w:sz w:val="24"/>
      <w:szCs w:val="24"/>
      <w:lang w:val="en-US" w:eastAsia="zh-CN" w:bidi="ar-SA"/>
    </w:rPr>
  </w:style>
  <w:style w:type="paragraph" w:styleId="Author" w:customStyle="1">
    <w:name w:val="Author"/>
    <w:next w:val="TextBody"/>
    <w:qFormat/>
    <w:pPr>
      <w:keepNext w:val="true"/>
      <w:keepLines/>
      <w:widowControl/>
      <w:suppressAutoHyphens w:val="true"/>
      <w:bidi w:val="0"/>
      <w:spacing w:before="202" w:after="490"/>
      <w:ind w:left="518" w:right="0" w:hanging="0"/>
      <w:contextualSpacing/>
      <w:jc w:val="left"/>
    </w:pPr>
    <w:rPr>
      <w:rFonts w:ascii="Open Sans" w:hAnsi="Open Sans" w:eastAsia="Noto Sans CJK SC" w:cs="宋体" w:cstheme="minorBidi"/>
      <w:color w:val="auto"/>
      <w:kern w:val="0"/>
      <w:sz w:val="22"/>
      <w:szCs w:val="24"/>
      <w:lang w:val="en-US" w:eastAsia="zh-CN"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宋体"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0" w:after="346"/>
      <w:ind w:left="461" w:right="461" w:hanging="0"/>
      <w:contextualSpacing/>
      <w:jc w:val="left"/>
    </w:pPr>
    <w:rPr>
      <w:rFonts w:ascii="Open Sans" w:hAnsi="Open Sans" w:eastAsia="Noto Sans CJK SC"/>
      <w:color w:val="000000"/>
      <w:sz w:val="18"/>
      <w:szCs w:val="24"/>
      <w:lang w:eastAsia="zh-CN"/>
    </w:rPr>
  </w:style>
  <w:style w:type="paragraph" w:styleId="Bibliography">
    <w:name w:val="Bibliography"/>
    <w:basedOn w:val="Normal"/>
    <w:qFormat/>
    <w:pPr>
      <w:numPr>
        <w:ilvl w:val="0"/>
        <w:numId w:val="2"/>
      </w:numPr>
      <w:tabs>
        <w:tab w:val="clear" w:pos="720"/>
      </w:tabs>
      <w:suppressAutoHyphens w:val="true"/>
      <w:spacing w:before="0" w:after="0"/>
      <w:jc w:val="left"/>
    </w:pPr>
    <w:rPr>
      <w:rFonts w:ascii="Open Sans" w:hAnsi="Open Sans" w:eastAsia="Noto Sans CJK SC"/>
      <w:b w:val="false"/>
      <w:bCs w:val="false"/>
      <w:spacing w:val="0"/>
      <w:sz w:val="18"/>
      <w:szCs w:val="22"/>
      <w:lang w:eastAsia="zh-C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before="0" w:after="0"/>
    </w:pPr>
    <w:rPr>
      <w:rFonts w:eastAsia="Noto Sans CJK SC"/>
      <w:sz w:val="18"/>
      <w:lang w:eastAsia="zh-CN"/>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ind w:left="0" w:right="0" w:hanging="0"/>
    </w:pPr>
    <w:rPr>
      <w:rFonts w:ascii="Calibri" w:hAnsi="Calibri" w:eastAsia="" w:cs="宋体" w:asciiTheme="majorHAnsi" w:cstheme="majorBidi" w:eastAsiaTheme="majorEastAsia" w:hAnsiTheme="majorHAnsi"/>
      <w:b w:val="false"/>
      <w:bCs w:val="false"/>
      <w:color w:val="365F91" w:themeColor="accent1" w:themeShade="bf"/>
    </w:rPr>
  </w:style>
  <w:style w:type="paragraph" w:styleId="IndexHeading">
    <w:name w:val="Index Heading"/>
    <w:basedOn w:val="Heading"/>
    <w:pPr>
      <w:suppressLineNumbers/>
      <w:ind w:left="0" w:hanging="0"/>
    </w:pPr>
    <w:rPr>
      <w:b/>
      <w:bCs/>
      <w:sz w:val="32"/>
      <w:szCs w:val="32"/>
    </w:rPr>
  </w:style>
  <w:style w:type="paragraph" w:styleId="TableofAuthorities" w:customStyle="1">
    <w:name w:val="Table of Authorities"/>
    <w:basedOn w:val="IndexHeading"/>
    <w:qFormat/>
    <w:pPr>
      <w:ind w:left="1440" w:right="0" w:hanging="0"/>
    </w:pPr>
    <w:rPr>
      <w:sz w:val="22"/>
    </w:rPr>
  </w:style>
  <w:style w:type="paragraph" w:styleId="AnnotationText">
    <w:name w:val="Annotation Text"/>
    <w:basedOn w:val="TextBody"/>
    <w:qFormat/>
    <w:pPr>
      <w:ind w:left="2268" w:right="0" w:hanging="0"/>
    </w:pPr>
    <w:rPr/>
  </w:style>
  <w:style w:type="paragraph" w:styleId="AuthorEnglish">
    <w:name w:val="Author English"/>
    <w:basedOn w:val="Author"/>
    <w:qFormat/>
    <w:pPr>
      <w:spacing w:before="72" w:after="0"/>
      <w:contextualSpacing/>
    </w:pPr>
    <w:rPr>
      <w:i/>
    </w:rPr>
  </w:style>
  <w:style w:type="paragraph" w:styleId="AuthorAffiliationEnglish">
    <w:name w:val="Author Affiliation English"/>
    <w:basedOn w:val="AuthorEnglish"/>
    <w:qFormat/>
    <w:pPr>
      <w:jc w:val="left"/>
    </w:pPr>
    <w:rPr>
      <w:i w:val="fals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Bdr>
        <w:top w:val="single" w:sz="2" w:space="1" w:color="000000"/>
      </w:pBdr>
      <w:tabs>
        <w:tab w:val="center" w:pos="3240" w:leader="none"/>
        <w:tab w:val="center" w:pos="4680" w:leader="none"/>
        <w:tab w:val="right" w:pos="9360" w:leader="none"/>
      </w:tabs>
      <w:spacing w:before="0" w:after="0"/>
    </w:pPr>
    <w:rPr>
      <w:rFonts w:eastAsia="Noto Sans CJK SC"/>
      <w:sz w:val="18"/>
      <w:lang w:eastAsia="zh-CN"/>
    </w:rPr>
  </w:style>
  <w:style w:type="numbering" w:styleId="Numbering123">
    <w:name w:val="Numbering 123"/>
    <w:qFormat/>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Application>LibreOffice/7.1.5.2$Linux_X86_64 LibreOffice_project/10$Build-2</Application>
  <AppVersion>15.0000</AppVersion>
  <Pages>4</Pages>
  <Words>4831</Words>
  <Characters>9918</Characters>
  <CharactersWithSpaces>11314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2021-08-15T05:57:23Z</dcterms:created>
  <dc:creator>谢祯晖综述，陈长源审校</dc:creator>
  <dc:description/>
  <cp:keywords>心脏瓣膜病 心脏瓣膜病 心脏瓣膜病 老年人 流行病学</cp:keywords>
  <dc:language>zh-CN</dc:language>
  <cp:lastModifiedBy/>
  <dcterms:modified xsi:type="dcterms:W3CDTF">2021-08-15T14:31:16Z</dcterms:modified>
  <cp:revision>2</cp:revision>
  <dc:subject/>
  <dc:title>老年性心脏瓣膜病的流行病学研究及治疗进展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WenQuanYi Micro Hei</vt:lpwstr>
  </property>
  <property fmtid="{D5CDD505-2E9C-101B-9397-08002B2CF9AE}" pid="3" name="abstract">
    <vt:lpwstr>　摘要 近 20 年来，随着中国人群平均寿命逐渐延长，老年人群（年龄 &gt; 65 岁）中心脏瓣膜病发病率、死亡率与致残率不断升高，老年性心脏瓣膜病已逐渐成为一项全球性的公共卫生问题。鉴于现今心脏瓣膜病分型的流行病学分布较前出现明显变化及心脏瓣膜病的治疗进展，本文对老年性心脏瓣膜病的流行病学调查与治疗等研究进展作一综述。 　关键词 心脏瓣膜病；流行病学；治疗；进展</vt:lpwstr>
  </property>
  <property fmtid="{D5CDD505-2E9C-101B-9397-08002B2CF9AE}" pid="4" name="affiliation">
    <vt:lpwstr>南京医科大学</vt:lpwstr>
  </property>
  <property fmtid="{D5CDD505-2E9C-101B-9397-08002B2CF9AE}" pid="5" name="autoEqnLabels">
    <vt:lpwstr>False</vt:lpwstr>
  </property>
  <property fmtid="{D5CDD505-2E9C-101B-9397-08002B2CF9AE}" pid="6" name="autoSectionLabels">
    <vt:lpwstr>False</vt:lpwstr>
  </property>
  <property fmtid="{D5CDD505-2E9C-101B-9397-08002B2CF9AE}" pid="7" name="bibliography">
    <vt:lpwstr>review.bib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/home/heyrict/.csl/lcxb-numeric-en-docx.csl</vt:lpwstr>
  </property>
  <property fmtid="{D5CDD505-2E9C-101B-9397-08002B2CF9AE}" pid="18" name="eq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header-includes">
    <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otes-after-punctuation">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