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480" w:after="240"/>
        <w:ind w:left="0" w:hanging="0"/>
        <w:rPr/>
      </w:pPr>
      <w:r>
        <w:rPr/>
        <w:t>老年退行性心脏瓣膜病的流行病学现状及诊疗进展</w:t>
      </w:r>
    </w:p>
    <w:p>
      <w:pPr>
        <w:pStyle w:val="Author"/>
        <w:rPr/>
      </w:pPr>
      <w:r>
        <w:rPr/>
        <w:t>谢祯晖　陈长源</w:t>
      </w:r>
    </w:p>
    <w:p>
      <w:pPr>
        <w:pStyle w:val="Abstract"/>
        <w:rPr/>
      </w:pPr>
      <w:r>
        <w:rPr>
          <w:b/>
          <w:bCs/>
        </w:rPr>
        <w:t>【摘要】</w:t>
      </w:r>
      <w:r>
        <w:rPr/>
        <w:t xml:space="preserve"> 近 </w:t>
      </w:r>
      <w:r>
        <w:rPr/>
        <w:t xml:space="preserve">20 </w:t>
      </w:r>
      <w:r>
        <w:rPr/>
        <w:t xml:space="preserve">年来，随着中国人群平均寿命逐渐延长，老年人群（年龄 </w:t>
      </w:r>
      <w:r>
        <w:rPr/>
        <w:t xml:space="preserve">&gt; 65 </w:t>
      </w:r>
      <w:r>
        <w:rPr/>
        <w:t xml:space="preserve">岁）中心脏瓣膜病发病率、死亡率与致残率不断升高，老年退行性心脏瓣膜病 </w:t>
      </w:r>
      <w:r>
        <w:rPr/>
        <w:t xml:space="preserve">(SDHVD) </w:t>
      </w:r>
      <w:r>
        <w:rPr/>
        <w:t xml:space="preserve">已逐渐成为一项全球性的公共卫生问题。鉴于目前全球心脏瓣膜病分型的流行病学分布较前出现明显变化，以及 </w:t>
      </w:r>
      <w:r>
        <w:rPr/>
        <w:t xml:space="preserve">SDHVD </w:t>
      </w:r>
      <w:r>
        <w:rPr/>
        <w:t xml:space="preserve">的诊疗相较以往出现显著进展，本文拟对 </w:t>
      </w:r>
      <w:r>
        <w:rPr/>
        <w:t xml:space="preserve">SDHVD </w:t>
      </w:r>
      <w:r>
        <w:rPr/>
        <w:t>的流行病学现状及诊疗进展作一综述。</w:t>
      </w:r>
    </w:p>
    <w:p>
      <w:pPr>
        <w:pStyle w:val="Abstract"/>
        <w:rPr/>
      </w:pPr>
      <w:r>
        <w:rPr>
          <w:b/>
          <w:bCs/>
        </w:rPr>
        <w:t>【关键词】</w:t>
      </w:r>
      <w:r>
        <w:rPr/>
        <w:t xml:space="preserve"> 心脏瓣膜病；流行病学；治疗；进展</w:t>
      </w:r>
    </w:p>
    <w:p>
      <w:pPr>
        <w:pStyle w:val="FirstParagraph"/>
        <w:rPr/>
      </w:pPr>
      <w:r>
        <w:rPr/>
        <w:t xml:space="preserve">老年退行性心脏瓣膜病 </w:t>
      </w:r>
      <w:r>
        <w:rPr/>
        <w:t xml:space="preserve">(Senile Degenerated Heart Valve Disease, SDHVD) </w:t>
      </w:r>
      <w:r>
        <w:rPr/>
        <w:t>又称老年钙化性心脏瓣膜病，是一类随着年龄增加出现心脏瓣膜结缔组织退行性病变、纤维化、钙化所引起的瓣膜和（或）瓣膜支架功能及结构异常的心脏瓣膜病，临床上主要表现为进行性的心脏瓣膜钙化、粥样硬化和黏液瘤样变性</w:t>
      </w:r>
      <w:r>
        <w:rPr>
          <w:vertAlign w:val="superscript"/>
        </w:rPr>
        <w:t>[1]</w:t>
      </w:r>
      <w:r>
        <w:rPr/>
        <w:t xml:space="preserve">。近 </w:t>
      </w:r>
      <w:r>
        <w:rPr/>
        <w:t xml:space="preserve">20 </w:t>
      </w:r>
      <w:r>
        <w:rPr/>
        <w:t xml:space="preserve">年来，年龄 </w:t>
      </w:r>
      <w:r>
        <w:rPr/>
        <w:t xml:space="preserve">&gt; 65 </w:t>
      </w:r>
      <w:r>
        <w:rPr/>
        <w:t xml:space="preserve">岁的老年人群中 </w:t>
      </w:r>
      <w:r>
        <w:rPr/>
        <w:t xml:space="preserve">SDHVD </w:t>
      </w:r>
      <w:r>
        <w:rPr/>
        <w:t>发病率、死亡率和患病人数不断升高。全球疾病负担研究显示，</w:t>
      </w:r>
      <w:r>
        <w:rPr/>
        <w:t xml:space="preserve">2017 </w:t>
      </w:r>
      <w:r>
        <w:rPr/>
        <w:t xml:space="preserve">年 </w:t>
      </w:r>
      <w:r>
        <w:rPr/>
        <w:t xml:space="preserve">70 </w:t>
      </w:r>
      <w:r>
        <w:rPr/>
        <w:t xml:space="preserve">岁以上人群中 </w:t>
      </w:r>
      <w:r>
        <w:rPr/>
        <w:t xml:space="preserve">SDHVD </w:t>
      </w:r>
      <w:r>
        <w:rPr/>
        <w:t xml:space="preserve">的发病率和死亡率约为 </w:t>
      </w:r>
      <w:r>
        <w:rPr/>
        <w:t>3667.89/10</w:t>
      </w:r>
      <w:r>
        <w:rPr/>
        <w:t xml:space="preserve">万 和 </w:t>
      </w:r>
      <w:r>
        <w:rPr/>
        <w:t>30.65/10</w:t>
      </w:r>
      <w:r>
        <w:rPr/>
        <w:t xml:space="preserve">万，较 </w:t>
      </w:r>
      <w:r>
        <w:rPr/>
        <w:t xml:space="preserve">1990 </w:t>
      </w:r>
      <w:r>
        <w:rPr/>
        <w:t xml:space="preserve">年分别增长了 </w:t>
      </w:r>
      <w:r>
        <w:rPr/>
        <w:t xml:space="preserve">9.11% </w:t>
      </w:r>
      <w:r>
        <w:rPr/>
        <w:t xml:space="preserve">和 </w:t>
      </w:r>
      <w:r>
        <w:rPr/>
        <w:t>15.44%</w:t>
      </w:r>
      <w:r>
        <w:rPr/>
        <w:t xml:space="preserve">；而 </w:t>
      </w:r>
      <w:r>
        <w:rPr/>
        <w:t xml:space="preserve">2017 </w:t>
      </w:r>
      <w:r>
        <w:rPr/>
        <w:t xml:space="preserve">年全球 </w:t>
      </w:r>
      <w:r>
        <w:rPr/>
        <w:t xml:space="preserve">SDHVD </w:t>
      </w:r>
      <w:r>
        <w:rPr/>
        <w:t xml:space="preserve">患者已达 </w:t>
      </w:r>
      <w:r>
        <w:rPr/>
        <w:t xml:space="preserve">3000 </w:t>
      </w:r>
      <w:r>
        <w:rPr/>
        <w:t xml:space="preserve">万例，较 </w:t>
      </w:r>
      <w:r>
        <w:rPr/>
        <w:t xml:space="preserve">1990 </w:t>
      </w:r>
      <w:r>
        <w:rPr/>
        <w:t xml:space="preserve">年增长了约 </w:t>
      </w:r>
      <w:r>
        <w:rPr/>
        <w:t>90%</w:t>
      </w:r>
      <w:r>
        <w:rPr/>
        <w:t xml:space="preserve">。这预示随着中国老龄化的进展，未来中国 </w:t>
      </w:r>
      <w:r>
        <w:rPr/>
        <w:t xml:space="preserve">SDHVD </w:t>
      </w:r>
      <w:r>
        <w:rPr/>
        <w:t>患者的数量可能将会出现显著增加</w:t>
      </w:r>
      <w:r>
        <w:rPr>
          <w:vertAlign w:val="superscript"/>
        </w:rPr>
        <w:t>[3]</w:t>
      </w:r>
      <w:r>
        <w:rPr/>
        <w:t>。随着人群平均寿命不断增加，</w:t>
      </w:r>
      <w:r>
        <w:rPr/>
        <w:t xml:space="preserve">SDHVD </w:t>
      </w:r>
      <w:r>
        <w:rPr/>
        <w:t xml:space="preserve">已成为心脏瓣膜病的重要组成部分。鉴于目前全球心脏瓣膜病包括中国心脏瓣膜病分型的流行病学分布较前出现明显变化，以及 </w:t>
      </w:r>
      <w:r>
        <w:rPr/>
        <w:t xml:space="preserve">SDHVD </w:t>
      </w:r>
      <w:r>
        <w:rPr/>
        <w:t xml:space="preserve">的诊疗相较以往有显著进展，本文拟对 </w:t>
      </w:r>
      <w:r>
        <w:rPr/>
        <w:t xml:space="preserve">SDHVD </w:t>
      </w:r>
      <w:r>
        <w:rPr/>
        <w:t>的流行病学现状及诊疗进展作一综述。</w:t>
      </w:r>
    </w:p>
    <w:p>
      <w:pPr>
        <w:pStyle w:val="Heading1"/>
        <w:ind w:left="0" w:right="0" w:hanging="0"/>
        <w:rPr/>
      </w:pPr>
      <w:bookmarkStart w:id="0" w:name="心脏瓣膜病分型的流行病学分布变化及-sdhvd-现状"/>
      <w:r>
        <w:rPr/>
        <w:t xml:space="preserve">心脏瓣膜病分型的流行病学分布变化及 </w:t>
      </w:r>
      <w:r>
        <w:rPr/>
        <w:t xml:space="preserve">SDHVD </w:t>
      </w:r>
      <w:r>
        <w:rPr/>
        <w:t>现状</w:t>
      </w:r>
    </w:p>
    <w:p>
      <w:pPr>
        <w:pStyle w:val="FirstParagraph"/>
        <w:rPr/>
      </w:pPr>
      <w:r>
        <w:rPr/>
        <w:t xml:space="preserve">心脏瓣膜病根据其病因主要可分为 </w:t>
      </w:r>
      <w:r>
        <w:rPr/>
        <w:t xml:space="preserve">SDHVD </w:t>
      </w:r>
      <w:r>
        <w:rPr/>
        <w:t xml:space="preserve">与风湿性心脏病 </w:t>
      </w:r>
      <w:r>
        <w:rPr/>
        <w:t>(Rheumatic Heart Disease, RHD)</w:t>
      </w:r>
      <w:r>
        <w:rPr/>
        <w:t>。根据累及瓣膜的不同，</w:t>
      </w:r>
      <w:r>
        <w:rPr/>
        <w:t xml:space="preserve">SDHVD </w:t>
      </w:r>
      <w:r>
        <w:rPr/>
        <w:t xml:space="preserve">主要可分为钙化性主动脉瓣疾病 </w:t>
      </w:r>
      <w:r>
        <w:rPr/>
        <w:t xml:space="preserve">(calcific aortic valve disease, CAVD) </w:t>
      </w:r>
      <w:r>
        <w:rPr/>
        <w:t xml:space="preserve">与退行性二尖瓣疾病 </w:t>
      </w:r>
      <w:r>
        <w:rPr/>
        <w:t>(degenerative mitral valve disease, DMVD)</w:t>
      </w:r>
      <w:r>
        <w:rPr/>
        <w:t>。</w:t>
      </w:r>
      <w:r>
        <w:rPr/>
        <w:t xml:space="preserve">CAVD </w:t>
      </w:r>
      <w:r>
        <w:rPr/>
        <w:t xml:space="preserve">根据病变严重程度的不同可分为主动脉瓣硬化与钙化性主动脉瓣狭窄，而 </w:t>
      </w:r>
      <w:r>
        <w:rPr/>
        <w:t xml:space="preserve">DMVD </w:t>
      </w:r>
      <w:r>
        <w:rPr/>
        <w:t xml:space="preserve">根据其病因的不同可分为二尖瓣黏液瘤样变性 </w:t>
      </w:r>
      <w:r>
        <w:rPr/>
        <w:t xml:space="preserve">(Barlow </w:t>
      </w:r>
      <w:r>
        <w:rPr/>
        <w:t>病</w:t>
      </w:r>
      <w:r>
        <w:rPr/>
        <w:t xml:space="preserve">) </w:t>
      </w:r>
      <w:r>
        <w:rPr/>
        <w:t>与纤维弹性组织缺乏性疾病</w:t>
      </w:r>
      <w:r>
        <w:rPr>
          <w:vertAlign w:val="superscript"/>
        </w:rPr>
        <w:t>[4,5]</w:t>
      </w:r>
      <w:r>
        <w:rPr/>
        <w:t>。超声心动图仍是目前心脏瓣膜病及其分型诊断的主要检查手段</w:t>
      </w:r>
      <w:r>
        <w:rPr>
          <w:vertAlign w:val="superscript"/>
        </w:rPr>
        <w:t>[5]</w:t>
      </w:r>
      <w:r>
        <w:rPr/>
        <w:t>。</w:t>
      </w:r>
    </w:p>
    <w:p>
      <w:pPr>
        <w:pStyle w:val="Heading2"/>
        <w:ind w:left="0" w:right="0" w:hanging="0"/>
        <w:rPr/>
      </w:pPr>
      <w:bookmarkStart w:id="1" w:name="国外心脏瓣膜病分型的流行病学分布变化及-sdhvd-现状"/>
      <w:r>
        <w:rPr/>
        <w:t xml:space="preserve">国外心脏瓣膜病分型的流行病学分布变化及 </w:t>
      </w:r>
      <w:r>
        <w:rPr/>
        <w:t xml:space="preserve">SDHVD </w:t>
      </w:r>
      <w:r>
        <w:rPr/>
        <w:t>现状</w:t>
      </w:r>
    </w:p>
    <w:p>
      <w:pPr>
        <w:pStyle w:val="FirstParagraph"/>
        <w:rPr/>
      </w:pPr>
      <w:r>
        <w:rPr/>
        <w:t xml:space="preserve">研究显示，自 </w:t>
      </w:r>
      <w:r>
        <w:rPr/>
        <w:t xml:space="preserve">1990 </w:t>
      </w:r>
      <w:r>
        <w:rPr/>
        <w:t xml:space="preserve">年以来，全球 </w:t>
      </w:r>
      <w:r>
        <w:rPr/>
        <w:t xml:space="preserve">SDHVD </w:t>
      </w:r>
      <w:r>
        <w:rPr/>
        <w:t xml:space="preserve">特别是 </w:t>
      </w:r>
      <w:r>
        <w:rPr/>
        <w:t xml:space="preserve">CAVD </w:t>
      </w:r>
      <w:r>
        <w:rPr/>
        <w:t xml:space="preserve">的发病率、患病率与死亡率显著上升，而 </w:t>
      </w:r>
      <w:r>
        <w:rPr/>
        <w:t xml:space="preserve">RHD </w:t>
      </w:r>
      <w:r>
        <w:rPr/>
        <w:t xml:space="preserve">的发病率、患病率与死亡率呈下降趋势。欧洲心血管协会对其 </w:t>
      </w:r>
      <w:r>
        <w:rPr/>
        <w:t xml:space="preserve">57 </w:t>
      </w:r>
      <w:r>
        <w:rPr/>
        <w:t>个成员国进行的统计报告</w:t>
      </w:r>
      <w:r>
        <w:rPr>
          <w:vertAlign w:val="superscript"/>
        </w:rPr>
        <w:t>[6]</w:t>
      </w:r>
      <w:r>
        <w:rPr/>
        <w:t>显示，经年龄标化后，</w:t>
      </w:r>
      <w:r>
        <w:rPr/>
        <w:t xml:space="preserve">1990 </w:t>
      </w:r>
      <w:r>
        <w:rPr/>
        <w:t xml:space="preserve">年至 </w:t>
      </w:r>
      <w:r>
        <w:rPr/>
        <w:t xml:space="preserve">2019 </w:t>
      </w:r>
      <w:r>
        <w:rPr/>
        <w:t xml:space="preserve">年 </w:t>
      </w:r>
      <w:r>
        <w:rPr/>
        <w:t xml:space="preserve">CAVD </w:t>
      </w:r>
      <w:r>
        <w:rPr/>
        <w:t xml:space="preserve">的发病率上升 </w:t>
      </w:r>
      <w:r>
        <w:rPr/>
        <w:t xml:space="preserve">7 </w:t>
      </w:r>
      <w:r>
        <w:rPr/>
        <w:t xml:space="preserve">倍，由 </w:t>
      </w:r>
      <w:r>
        <w:rPr/>
        <w:t xml:space="preserve">1.6/10 </w:t>
      </w:r>
      <w:r>
        <w:rPr/>
        <w:t xml:space="preserve">万增至 </w:t>
      </w:r>
      <w:r>
        <w:rPr/>
        <w:t xml:space="preserve">12.6/10 </w:t>
      </w:r>
      <w:r>
        <w:rPr/>
        <w:t xml:space="preserve">万，而患病率上升 </w:t>
      </w:r>
      <w:r>
        <w:rPr/>
        <w:t xml:space="preserve">15 </w:t>
      </w:r>
      <w:r>
        <w:rPr/>
        <w:t xml:space="preserve">倍，由 </w:t>
      </w:r>
      <w:r>
        <w:rPr/>
        <w:t xml:space="preserve">12.0/10 </w:t>
      </w:r>
      <w:r>
        <w:rPr/>
        <w:t xml:space="preserve">万增至 </w:t>
      </w:r>
      <w:r>
        <w:rPr/>
        <w:t xml:space="preserve">181.1/10 </w:t>
      </w:r>
      <w:r>
        <w:rPr/>
        <w:t>万；</w:t>
      </w:r>
      <w:r>
        <w:rPr/>
        <w:t xml:space="preserve">DMVD </w:t>
      </w:r>
      <w:r>
        <w:rPr/>
        <w:t xml:space="preserve">的发病率 </w:t>
      </w:r>
      <w:r>
        <w:rPr/>
        <w:t xml:space="preserve">(16.7/10 </w:t>
      </w:r>
      <w:r>
        <w:rPr/>
        <w:t xml:space="preserve">万 </w:t>
      </w:r>
      <w:r>
        <w:rPr/>
        <w:t xml:space="preserve">vs. 16.7/10 </w:t>
      </w:r>
      <w:r>
        <w:rPr/>
        <w:t>万</w:t>
      </w:r>
      <w:r>
        <w:rPr/>
        <w:t xml:space="preserve">) </w:t>
      </w:r>
      <w:r>
        <w:rPr/>
        <w:t xml:space="preserve">与患病率 </w:t>
      </w:r>
      <w:r>
        <w:rPr/>
        <w:t xml:space="preserve">(360.6/10 </w:t>
      </w:r>
      <w:r>
        <w:rPr/>
        <w:t xml:space="preserve">万 </w:t>
      </w:r>
      <w:r>
        <w:rPr/>
        <w:t xml:space="preserve">vs. 357.3/10 </w:t>
      </w:r>
      <w:r>
        <w:rPr/>
        <w:t>万</w:t>
      </w:r>
      <w:r>
        <w:rPr/>
        <w:t xml:space="preserve">) </w:t>
      </w:r>
      <w:r>
        <w:rPr/>
        <w:t xml:space="preserve">无明显变化；而 </w:t>
      </w:r>
      <w:r>
        <w:rPr/>
        <w:t xml:space="preserve">RHD </w:t>
      </w:r>
      <w:r>
        <w:rPr/>
        <w:t xml:space="preserve">的发病率与患病率分别由 </w:t>
      </w:r>
      <w:r>
        <w:rPr/>
        <w:t xml:space="preserve">7.8/10 </w:t>
      </w:r>
      <w:r>
        <w:rPr/>
        <w:t>万、</w:t>
      </w:r>
      <w:r>
        <w:rPr/>
        <w:t xml:space="preserve">82.7/10 </w:t>
      </w:r>
      <w:r>
        <w:rPr/>
        <w:t xml:space="preserve">万降至 </w:t>
      </w:r>
      <w:r>
        <w:rPr/>
        <w:t xml:space="preserve">4.7/10 </w:t>
      </w:r>
      <w:r>
        <w:rPr/>
        <w:t>万、</w:t>
      </w:r>
      <w:r>
        <w:rPr/>
        <w:t xml:space="preserve">58.2/10 </w:t>
      </w:r>
      <w:r>
        <w:rPr/>
        <w:t xml:space="preserve">万；欧洲不同国家间心脏瓣膜病的发病率与患病率存在较大差异，但总体上看，与中等收入国家相比，高收入国家 </w:t>
      </w:r>
      <w:r>
        <w:rPr/>
        <w:t xml:space="preserve">CAVD </w:t>
      </w:r>
      <w:r>
        <w:rPr/>
        <w:t xml:space="preserve">的发病率 </w:t>
      </w:r>
      <w:r>
        <w:rPr/>
        <w:t xml:space="preserve">(18.4/10 </w:t>
      </w:r>
      <w:r>
        <w:rPr/>
        <w:t xml:space="preserve">万 </w:t>
      </w:r>
      <w:r>
        <w:rPr/>
        <w:t xml:space="preserve">vs. 4.3/10 </w:t>
      </w:r>
      <w:r>
        <w:rPr/>
        <w:t>万</w:t>
      </w:r>
      <w:r>
        <w:rPr/>
        <w:t xml:space="preserve">) </w:t>
      </w:r>
      <w:r>
        <w:rPr/>
        <w:t xml:space="preserve">与患病率 </w:t>
      </w:r>
      <w:r>
        <w:rPr/>
        <w:t xml:space="preserve">(256.4/10 </w:t>
      </w:r>
      <w:r>
        <w:rPr/>
        <w:t xml:space="preserve">万 </w:t>
      </w:r>
      <w:r>
        <w:rPr/>
        <w:t xml:space="preserve">vs. 73.6/10 </w:t>
      </w:r>
      <w:r>
        <w:rPr/>
        <w:t>万</w:t>
      </w:r>
      <w:r>
        <w:rPr/>
        <w:t xml:space="preserve">) </w:t>
      </w:r>
      <w:r>
        <w:rPr/>
        <w:t xml:space="preserve">更高，而 </w:t>
      </w:r>
      <w:r>
        <w:rPr/>
        <w:t xml:space="preserve">DMVD </w:t>
      </w:r>
      <w:r>
        <w:rPr/>
        <w:t xml:space="preserve">与 </w:t>
      </w:r>
      <w:r>
        <w:rPr/>
        <w:t xml:space="preserve">RHD </w:t>
      </w:r>
      <w:r>
        <w:rPr/>
        <w:t xml:space="preserve">的发病率 </w:t>
      </w:r>
      <w:r>
        <w:rPr/>
        <w:t xml:space="preserve">(DMVD 4.8/10 </w:t>
      </w:r>
      <w:r>
        <w:rPr/>
        <w:t xml:space="preserve">万 </w:t>
      </w:r>
      <w:r>
        <w:rPr/>
        <w:t xml:space="preserve">vs. 19.2/10 </w:t>
      </w:r>
      <w:r>
        <w:rPr/>
        <w:t>万</w:t>
      </w:r>
      <w:r>
        <w:rPr/>
        <w:t xml:space="preserve">; RHD 4.2/10 </w:t>
      </w:r>
      <w:r>
        <w:rPr/>
        <w:t xml:space="preserve">万 </w:t>
      </w:r>
      <w:r>
        <w:rPr/>
        <w:t xml:space="preserve">vs. 8.0/10 </w:t>
      </w:r>
      <w:r>
        <w:rPr/>
        <w:t>万</w:t>
      </w:r>
      <w:r>
        <w:rPr/>
        <w:t xml:space="preserve">) </w:t>
      </w:r>
      <w:r>
        <w:rPr/>
        <w:t xml:space="preserve">与患病率 </w:t>
      </w:r>
      <w:r>
        <w:rPr/>
        <w:t xml:space="preserve">(DMVD 87.6/10 </w:t>
      </w:r>
      <w:r>
        <w:rPr/>
        <w:t xml:space="preserve">万 </w:t>
      </w:r>
      <w:r>
        <w:rPr/>
        <w:t xml:space="preserve">vs. 429.4/10 </w:t>
      </w:r>
      <w:r>
        <w:rPr/>
        <w:t>万</w:t>
      </w:r>
      <w:r>
        <w:rPr/>
        <w:t xml:space="preserve">; RHD 39.8/10 </w:t>
      </w:r>
      <w:r>
        <w:rPr/>
        <w:t xml:space="preserve">万 </w:t>
      </w:r>
      <w:r>
        <w:rPr/>
        <w:t xml:space="preserve">vs. 134.7/10 </w:t>
      </w:r>
      <w:r>
        <w:rPr/>
        <w:t>万</w:t>
      </w:r>
      <w:r>
        <w:rPr/>
        <w:t xml:space="preserve">) </w:t>
      </w:r>
      <w:r>
        <w:rPr/>
        <w:t>更低。全球疾病负担研究</w:t>
      </w:r>
      <w:r>
        <w:rPr>
          <w:vertAlign w:val="superscript"/>
        </w:rPr>
        <w:t>[2,3,7]</w:t>
      </w:r>
      <w:r>
        <w:rPr/>
        <w:t xml:space="preserve">对全球 </w:t>
      </w:r>
      <w:r>
        <w:rPr/>
        <w:t xml:space="preserve">195 </w:t>
      </w:r>
      <w:r>
        <w:rPr/>
        <w:t xml:space="preserve">个国家和地区的伤残和死亡事件的分析结果显示，与 </w:t>
      </w:r>
      <w:r>
        <w:rPr/>
        <w:t xml:space="preserve">1990 </w:t>
      </w:r>
      <w:r>
        <w:rPr/>
        <w:t xml:space="preserve">年相比，全球 </w:t>
      </w:r>
      <w:r>
        <w:rPr/>
        <w:t xml:space="preserve">SDHVD </w:t>
      </w:r>
      <w:r>
        <w:rPr/>
        <w:t xml:space="preserve">的死亡率在 </w:t>
      </w:r>
      <w:r>
        <w:rPr/>
        <w:t xml:space="preserve">70 </w:t>
      </w:r>
      <w:r>
        <w:rPr/>
        <w:t xml:space="preserve">岁以上老年人群中升高了 </w:t>
      </w:r>
      <w:r>
        <w:rPr/>
        <w:t>15.44%</w:t>
      </w:r>
      <w:r>
        <w:rPr/>
        <w:t>；</w:t>
      </w:r>
      <w:r>
        <w:rPr/>
        <w:t xml:space="preserve">RHD </w:t>
      </w:r>
      <w:r>
        <w:rPr/>
        <w:t xml:space="preserve">的死亡率下降了 </w:t>
      </w:r>
      <w:r>
        <w:rPr/>
        <w:t>47.8%</w:t>
      </w:r>
      <w:r>
        <w:rPr/>
        <w:t xml:space="preserve">，且 </w:t>
      </w:r>
      <w:r>
        <w:rPr/>
        <w:t xml:space="preserve">82% </w:t>
      </w:r>
      <w:r>
        <w:rPr/>
        <w:t xml:space="preserve">的死亡事件发生于部分中、低收入国家，这些国家存在儿童高患病与高死亡的地方性模式。这些研究结果提示，近 </w:t>
      </w:r>
      <w:r>
        <w:rPr/>
        <w:t xml:space="preserve">30 </w:t>
      </w:r>
      <w:r>
        <w:rPr/>
        <w:t xml:space="preserve">年来，世界范围内 </w:t>
      </w:r>
      <w:r>
        <w:rPr/>
        <w:t xml:space="preserve">SDHVD </w:t>
      </w:r>
      <w:r>
        <w:rPr/>
        <w:t>的疾病负担普遍增加，在高收入国家尤其明显；其中，</w:t>
      </w:r>
      <w:r>
        <w:rPr/>
        <w:t xml:space="preserve">CAVD </w:t>
      </w:r>
      <w:r>
        <w:rPr/>
        <w:t>发病率及死亡率纵向比较较以往明显增高，未来值得关注。横向比较，在经济发达和人口老龄化程度较严重的中、高收入国家，</w:t>
      </w:r>
      <w:r>
        <w:rPr/>
        <w:t xml:space="preserve">SDHVD </w:t>
      </w:r>
      <w:r>
        <w:rPr/>
        <w:t xml:space="preserve">的发病率及死亡率已超过 </w:t>
      </w:r>
      <w:r>
        <w:rPr/>
        <w:t>RHD</w:t>
      </w:r>
      <w:r>
        <w:rPr/>
        <w:t>，并且未来将可能出现进一步增高。</w:t>
      </w:r>
      <w:bookmarkEnd w:id="1"/>
    </w:p>
    <w:p>
      <w:pPr>
        <w:pStyle w:val="Heading2"/>
        <w:ind w:left="0" w:right="0" w:hanging="0"/>
        <w:rPr/>
      </w:pPr>
      <w:bookmarkStart w:id="2" w:name="国内心脏瓣膜病分型的流行病学分布变化及-sdhvd-现状"/>
      <w:r>
        <w:rPr/>
        <w:t xml:space="preserve">国内心脏瓣膜病分型的流行病学分布变化及 </w:t>
      </w:r>
      <w:r>
        <w:rPr/>
        <w:t xml:space="preserve">SDHVD </w:t>
      </w:r>
      <w:r>
        <w:rPr/>
        <w:t>现状</w:t>
      </w:r>
    </w:p>
    <w:p>
      <w:pPr>
        <w:pStyle w:val="FirstParagraph"/>
        <w:rPr/>
      </w:pPr>
      <w:r>
        <w:rPr/>
        <w:t>既往研究显示，</w:t>
      </w:r>
      <w:r>
        <w:rPr/>
        <w:t xml:space="preserve">RHD </w:t>
      </w:r>
      <w:r>
        <w:rPr/>
        <w:t xml:space="preserve">是中、低收入国家心脏瓣膜病的主要病因，而 </w:t>
      </w:r>
      <w:r>
        <w:rPr/>
        <w:t xml:space="preserve">SDHVD </w:t>
      </w:r>
      <w:r>
        <w:rPr/>
        <w:t>是高收入国家心脏瓣膜病的主要病因</w:t>
      </w:r>
      <w:r>
        <w:rPr>
          <w:vertAlign w:val="superscript"/>
        </w:rPr>
        <w:t>[3]</w:t>
      </w:r>
      <w:r>
        <w:rPr/>
        <w:t>。由于我国不同地区气候、经济水平不尽相同，心脏瓣膜病的病因分布也有较大的差异性。叶蕴青等</w:t>
      </w:r>
      <w:r>
        <w:rPr>
          <w:vertAlign w:val="superscript"/>
        </w:rPr>
        <w:t>[8]</w:t>
      </w:r>
      <w:r>
        <w:rPr/>
        <w:t xml:space="preserve">对全国三级医院入院患者进行的一项多中心前瞻性研究发现，我国东部地区 </w:t>
      </w:r>
      <w:r>
        <w:rPr/>
        <w:t xml:space="preserve">SDHVD </w:t>
      </w:r>
      <w:r>
        <w:rPr/>
        <w:t xml:space="preserve">所致联合瓣膜病 </w:t>
      </w:r>
      <w:r>
        <w:rPr/>
        <w:t xml:space="preserve">(36.7% vs. 27.7% - 33.3%, p = 0.002) </w:t>
      </w:r>
      <w:r>
        <w:rPr/>
        <w:t xml:space="preserve">与单纯二尖瓣关闭不全 </w:t>
      </w:r>
      <w:r>
        <w:rPr/>
        <w:t xml:space="preserve">(39.4% vs. 24.3% - 31.2%, p = 0.001) </w:t>
      </w:r>
      <w:r>
        <w:rPr/>
        <w:t xml:space="preserve">的构成比较其它地区更高，而南部地区 </w:t>
      </w:r>
      <w:r>
        <w:rPr/>
        <w:t xml:space="preserve">RHD </w:t>
      </w:r>
      <w:r>
        <w:rPr/>
        <w:t xml:space="preserve">所致联合瓣膜病 </w:t>
      </w:r>
      <w:r>
        <w:rPr/>
        <w:t xml:space="preserve">(32.1% vs. 18.2% - 22.6%, p = 0.017) </w:t>
      </w:r>
      <w:r>
        <w:rPr/>
        <w:t xml:space="preserve">与单纯主动脉瓣关闭不全 </w:t>
      </w:r>
      <w:r>
        <w:rPr/>
        <w:t xml:space="preserve">(14.3% vs. 0.9% - 6.7%, p = 0.033) </w:t>
      </w:r>
      <w:r>
        <w:rPr/>
        <w:t>的构成比更高。其结果提示，在我国东部沿海经济发达省市中，</w:t>
      </w:r>
      <w:r>
        <w:rPr/>
        <w:t xml:space="preserve">SDHVD </w:t>
      </w:r>
      <w:r>
        <w:rPr/>
        <w:t>已成为心脏瓣膜病的主要分型。</w:t>
      </w:r>
      <w:r>
        <w:rPr/>
        <w:t xml:space="preserve">2021 </w:t>
      </w:r>
      <w:r>
        <w:rPr/>
        <w:t xml:space="preserve">年 </w:t>
      </w:r>
      <w:r>
        <w:rPr/>
        <w:t xml:space="preserve">Yang </w:t>
      </w:r>
      <w:r>
        <w:rPr/>
        <w:t>等</w:t>
      </w:r>
      <w:r>
        <w:rPr>
          <w:vertAlign w:val="superscript"/>
        </w:rPr>
        <w:t>[9]</w:t>
      </w:r>
      <w:r>
        <w:rPr/>
        <w:t>进行的全国人群大规模横断面流行病学研究结果显示，随着年龄的增长，</w:t>
      </w:r>
      <w:r>
        <w:rPr/>
        <w:t xml:space="preserve">RHD </w:t>
      </w:r>
      <w:r>
        <w:rPr/>
        <w:t xml:space="preserve">的占比由 </w:t>
      </w:r>
      <w:r>
        <w:rPr/>
        <w:t xml:space="preserve">35 - 44 </w:t>
      </w:r>
      <w:r>
        <w:rPr/>
        <w:t xml:space="preserve">岁人群的 </w:t>
      </w:r>
      <w:r>
        <w:rPr/>
        <w:t xml:space="preserve">77.8% </w:t>
      </w:r>
      <w:r>
        <w:rPr/>
        <w:t xml:space="preserve">降至 </w:t>
      </w:r>
      <w:r>
        <w:rPr/>
        <w:t xml:space="preserve">75 </w:t>
      </w:r>
      <w:r>
        <w:rPr/>
        <w:t xml:space="preserve">岁以上人群的 </w:t>
      </w:r>
      <w:r>
        <w:rPr/>
        <w:t>38.0%</w:t>
      </w:r>
      <w:r>
        <w:rPr/>
        <w:t xml:space="preserve">，而 </w:t>
      </w:r>
      <w:r>
        <w:rPr/>
        <w:t xml:space="preserve">SDHVD </w:t>
      </w:r>
      <w:r>
        <w:rPr/>
        <w:t xml:space="preserve">的占比由 </w:t>
      </w:r>
      <w:r>
        <w:rPr/>
        <w:t xml:space="preserve">55 - 64 </w:t>
      </w:r>
      <w:r>
        <w:rPr/>
        <w:t xml:space="preserve">岁人群的 </w:t>
      </w:r>
      <w:r>
        <w:rPr/>
        <w:t xml:space="preserve">18.2% </w:t>
      </w:r>
      <w:r>
        <w:rPr/>
        <w:t xml:space="preserve">升至 </w:t>
      </w:r>
      <w:r>
        <w:rPr/>
        <w:t xml:space="preserve">75 </w:t>
      </w:r>
      <w:r>
        <w:rPr/>
        <w:t xml:space="preserve">岁以上人群的 </w:t>
      </w:r>
      <w:r>
        <w:rPr/>
        <w:t>42.5%</w:t>
      </w:r>
      <w:r>
        <w:rPr/>
        <w:t xml:space="preserve">。我国 </w:t>
      </w:r>
      <w:r>
        <w:rPr/>
        <w:t xml:space="preserve">65 - 75 </w:t>
      </w:r>
      <w:r>
        <w:rPr/>
        <w:t xml:space="preserve">岁老年人群中 </w:t>
      </w:r>
      <w:r>
        <w:rPr/>
        <w:t xml:space="preserve">RHD </w:t>
      </w:r>
      <w:r>
        <w:rPr/>
        <w:t xml:space="preserve">和 </w:t>
      </w:r>
      <w:r>
        <w:rPr/>
        <w:t xml:space="preserve">SDHVD </w:t>
      </w:r>
      <w:r>
        <w:rPr/>
        <w:t xml:space="preserve">患病率分别为 </w:t>
      </w:r>
      <w:r>
        <w:rPr/>
        <w:t xml:space="preserve">2.19%/1.90% </w:t>
      </w:r>
      <w:r>
        <w:rPr/>
        <w:t xml:space="preserve">和 </w:t>
      </w:r>
      <w:r>
        <w:rPr/>
        <w:t>2.10%/2.76%</w:t>
      </w:r>
      <w:r>
        <w:rPr/>
        <w:t xml:space="preserve">，而 </w:t>
      </w:r>
      <w:r>
        <w:rPr/>
        <w:t xml:space="preserve">75 </w:t>
      </w:r>
      <w:r>
        <w:rPr/>
        <w:t xml:space="preserve">岁以上高龄人群中其患病率分别为 </w:t>
      </w:r>
      <w:r>
        <w:rPr/>
        <w:t xml:space="preserve">3.14%/3.18% </w:t>
      </w:r>
      <w:r>
        <w:rPr/>
        <w:t xml:space="preserve">和 </w:t>
      </w:r>
      <w:r>
        <w:rPr/>
        <w:t>2.64%/3.71% (</w:t>
      </w:r>
      <w:r>
        <w:rPr/>
        <w:t>男性</w:t>
      </w:r>
      <w:r>
        <w:rPr/>
        <w:t>/</w:t>
      </w:r>
      <w:r>
        <w:rPr/>
        <w:t>女性</w:t>
      </w:r>
      <w:r>
        <w:rPr/>
        <w:t>)</w:t>
      </w:r>
      <w:r>
        <w:rPr/>
        <w:t>。提示全国范围内，</w:t>
      </w:r>
      <w:r>
        <w:rPr/>
        <w:t xml:space="preserve">65 </w:t>
      </w:r>
      <w:r>
        <w:rPr/>
        <w:t xml:space="preserve">岁以上老年人群 </w:t>
      </w:r>
      <w:r>
        <w:rPr/>
        <w:t xml:space="preserve">SDHVD </w:t>
      </w:r>
      <w:r>
        <w:rPr/>
        <w:t xml:space="preserve">的患病率已增至与 </w:t>
      </w:r>
      <w:r>
        <w:rPr/>
        <w:t xml:space="preserve">RHD </w:t>
      </w:r>
      <w:r>
        <w:rPr/>
        <w:t>相近水平；而未来的几十年内，随着我国内地省市经济的发展及我国老龄化的加剧，</w:t>
      </w:r>
      <w:r>
        <w:rPr/>
        <w:t xml:space="preserve">SDHVD </w:t>
      </w:r>
      <w:r>
        <w:rPr/>
        <w:t xml:space="preserve">在我国 </w:t>
      </w:r>
      <w:r>
        <w:rPr/>
        <w:t xml:space="preserve">65 </w:t>
      </w:r>
      <w:r>
        <w:rPr/>
        <w:t>岁以上老年人中的构成比将可能进一步升高。</w:t>
      </w:r>
      <w:bookmarkEnd w:id="0"/>
      <w:bookmarkEnd w:id="2"/>
    </w:p>
    <w:p>
      <w:pPr>
        <w:pStyle w:val="Heading1"/>
        <w:ind w:left="0" w:right="0" w:hanging="0"/>
        <w:rPr/>
      </w:pPr>
      <w:bookmarkStart w:id="3" w:name="sdhvd-的诊疗进展"/>
      <w:r>
        <w:rPr/>
        <w:t xml:space="preserve">SDHVD </w:t>
      </w:r>
      <w:r>
        <w:rPr/>
        <w:t>的诊疗进展</w:t>
      </w:r>
    </w:p>
    <w:p>
      <w:pPr>
        <w:pStyle w:val="Heading2"/>
        <w:ind w:left="0" w:right="0" w:hanging="0"/>
        <w:rPr/>
      </w:pPr>
      <w:bookmarkStart w:id="4" w:name="sdhvd-的早期诊断进展及目前存在的局限"/>
      <w:r>
        <w:rPr/>
        <w:t xml:space="preserve">SDHVD </w:t>
      </w:r>
      <w:r>
        <w:rPr/>
        <w:t>的早期诊断进展及目前存在的局限</w:t>
      </w:r>
    </w:p>
    <w:p>
      <w:pPr>
        <w:pStyle w:val="FirstParagraph"/>
        <w:rPr/>
      </w:pPr>
      <w:r>
        <w:rPr/>
        <w:t xml:space="preserve">SDHVD </w:t>
      </w:r>
      <w:r>
        <w:rPr/>
        <w:t xml:space="preserve">起病隐匿，早期多无症状，常为体检时偶然发现。因此，社区中存在大量未被确诊的 </w:t>
      </w:r>
      <w:r>
        <w:rPr/>
        <w:t xml:space="preserve">SDHVD </w:t>
      </w:r>
      <w:r>
        <w:rPr/>
        <w:t>患者。</w:t>
      </w:r>
      <w:r>
        <w:rPr/>
        <w:t xml:space="preserve">OxVALVE </w:t>
      </w:r>
      <w:r>
        <w:rPr/>
        <w:t>前瞻性队列研究</w:t>
      </w:r>
      <w:r>
        <w:rPr>
          <w:vertAlign w:val="superscript"/>
        </w:rPr>
        <w:t>[10]</w:t>
      </w:r>
      <w:r>
        <w:rPr/>
        <w:t xml:space="preserve">对英国牛津郡 </w:t>
      </w:r>
      <w:r>
        <w:rPr/>
        <w:t xml:space="preserve">65 </w:t>
      </w:r>
      <w:r>
        <w:rPr/>
        <w:t>岁及以上未曾确诊心脏瓣膜病的老年人进行了超声心动图检查，结果显示，在社区未被确诊心脏瓣膜病的老年人中，主动脉瓣硬化或轻度钙化性主动脉瓣狭窄、中</w:t>
      </w:r>
      <w:r>
        <w:rPr/>
        <w:t>/</w:t>
      </w:r>
      <w:r>
        <w:rPr/>
        <w:t>重度钙化性主动脉瓣狭窄及中</w:t>
      </w:r>
      <w:r>
        <w:rPr/>
        <w:t>/</w:t>
      </w:r>
      <w:r>
        <w:rPr/>
        <w:t xml:space="preserve">重度二尖瓣关闭不全的患病率分别达 </w:t>
      </w:r>
      <w:r>
        <w:rPr/>
        <w:t>34.6%</w:t>
      </w:r>
      <w:r>
        <w:rPr/>
        <w:t>、</w:t>
      </w:r>
      <w:r>
        <w:rPr/>
        <w:t xml:space="preserve">0.7% </w:t>
      </w:r>
      <w:r>
        <w:rPr/>
        <w:t xml:space="preserve">和 </w:t>
      </w:r>
      <w:r>
        <w:rPr/>
        <w:t>2.3%</w:t>
      </w:r>
      <w:r>
        <w:rPr/>
        <w:t xml:space="preserve">，几乎所有患者 </w:t>
      </w:r>
      <w:r>
        <w:rPr/>
        <w:t xml:space="preserve">(97.4%) </w:t>
      </w:r>
      <w:r>
        <w:rPr/>
        <w:t xml:space="preserve">无症状或仅有轻微症状。提示社区人群 </w:t>
      </w:r>
      <w:r>
        <w:rPr/>
        <w:t xml:space="preserve">SDHVD </w:t>
      </w:r>
      <w:r>
        <w:rPr/>
        <w:t xml:space="preserve">尤其是中、重度 </w:t>
      </w:r>
      <w:r>
        <w:rPr/>
        <w:t xml:space="preserve">SDHVD </w:t>
      </w:r>
      <w:r>
        <w:rPr/>
        <w:t>的早期发现并能够予以及时有效治疗值得关注。</w:t>
      </w:r>
      <w:bookmarkEnd w:id="4"/>
    </w:p>
    <w:p>
      <w:pPr>
        <w:pStyle w:val="Heading2"/>
        <w:ind w:left="0" w:right="0" w:hanging="0"/>
        <w:rPr/>
      </w:pPr>
      <w:bookmarkStart w:id="5" w:name="sdhvd-的治疗进展及目前存在的局限"/>
      <w:r>
        <w:rPr/>
        <w:t xml:space="preserve">SDHVD </w:t>
      </w:r>
      <w:r>
        <w:rPr/>
        <w:t>的治疗进展及目前存在的局限</w:t>
      </w:r>
    </w:p>
    <w:p>
      <w:pPr>
        <w:pStyle w:val="FirstParagraph"/>
        <w:rPr/>
      </w:pPr>
      <w:r>
        <w:rPr/>
        <w:t xml:space="preserve">目前，瓣膜修复与瓣膜置换是 </w:t>
      </w:r>
      <w:r>
        <w:rPr/>
        <w:t xml:space="preserve">SDHVD </w:t>
      </w:r>
      <w:r>
        <w:rPr/>
        <w:t xml:space="preserve">目前唯一有效的治疗方法。既往对于重度 </w:t>
      </w:r>
      <w:r>
        <w:rPr/>
        <w:t xml:space="preserve">CAVD </w:t>
      </w:r>
      <w:r>
        <w:rPr/>
        <w:t xml:space="preserve">患者主要采用外科主动脉瓣置换术 </w:t>
      </w:r>
      <w:r>
        <w:rPr/>
        <w:t xml:space="preserve">(surgical aortic valve replacement, SAVR) </w:t>
      </w:r>
      <w:r>
        <w:rPr/>
        <w:t xml:space="preserve">进行治疗。近年来经导管主动脉瓣植入技术 </w:t>
      </w:r>
      <w:r>
        <w:rPr/>
        <w:t xml:space="preserve">(transcatheter aortic valve implantation, TAVI) </w:t>
      </w:r>
      <w:r>
        <w:rPr/>
        <w:t>得到广泛开展。</w:t>
      </w:r>
      <w:r>
        <w:rPr/>
        <w:t xml:space="preserve">PARTNER </w:t>
      </w:r>
      <w:r>
        <w:rPr/>
        <w:t xml:space="preserve">研究显示 </w:t>
      </w:r>
      <w:r>
        <w:rPr/>
        <w:t xml:space="preserve">TAVI </w:t>
      </w:r>
      <w:r>
        <w:rPr/>
        <w:t xml:space="preserve">对于不同手术风险的 </w:t>
      </w:r>
      <w:r>
        <w:rPr/>
        <w:t xml:space="preserve">CAVD </w:t>
      </w:r>
      <w:r>
        <w:rPr/>
        <w:t xml:space="preserve">患者的治疗效果不劣于 </w:t>
      </w:r>
      <w:r>
        <w:rPr/>
        <w:t>SAVR</w:t>
      </w:r>
      <w:r>
        <w:rPr>
          <w:vertAlign w:val="superscript"/>
        </w:rPr>
        <w:t>[13]</w:t>
      </w:r>
      <w:r>
        <w:rPr/>
        <w:t xml:space="preserve">。临床上常见的 </w:t>
      </w:r>
      <w:r>
        <w:rPr/>
        <w:t xml:space="preserve">TAVI </w:t>
      </w:r>
      <w:r>
        <w:rPr/>
        <w:t xml:space="preserve">瓣膜主要包括经导管球囊扩张瓣膜 </w:t>
      </w:r>
      <w:r>
        <w:rPr/>
        <w:t xml:space="preserve">(SAPIEN XT, SAPIEN 3) </w:t>
      </w:r>
      <w:r>
        <w:rPr/>
        <w:t xml:space="preserve">和自膨式瓣膜 </w:t>
      </w:r>
      <w:r>
        <w:rPr/>
        <w:t>(CoreValve, CoreValve Evolut R)</w:t>
      </w:r>
      <w:r>
        <w:rPr/>
        <w:t xml:space="preserve">。随着 </w:t>
      </w:r>
      <w:r>
        <w:rPr/>
        <w:t xml:space="preserve">TAVI </w:t>
      </w:r>
      <w:r>
        <w:rPr/>
        <w:t>的广泛开展，</w:t>
      </w:r>
      <w:r>
        <w:rPr/>
        <w:t xml:space="preserve">TAVI </w:t>
      </w:r>
      <w:r>
        <w:rPr/>
        <w:t>瓣膜的使用寿命近年来引起人们关注。</w:t>
      </w:r>
      <w:r>
        <w:rPr/>
        <w:t xml:space="preserve">NOTION </w:t>
      </w:r>
      <w:r>
        <w:rPr/>
        <w:t>试验</w:t>
      </w:r>
      <w:r>
        <w:rPr>
          <w:vertAlign w:val="superscript"/>
        </w:rPr>
        <w:t>[14]</w:t>
      </w:r>
      <w:r>
        <w:rPr/>
        <w:t xml:space="preserve">前瞻性纳入了 </w:t>
      </w:r>
      <w:r>
        <w:rPr/>
        <w:t xml:space="preserve">274 </w:t>
      </w:r>
      <w:r>
        <w:rPr/>
        <w:t xml:space="preserve">名 </w:t>
      </w:r>
      <w:r>
        <w:rPr/>
        <w:t xml:space="preserve">70 </w:t>
      </w:r>
      <w:r>
        <w:rPr/>
        <w:t xml:space="preserve">岁以上的重度主动脉狭窄患者，在经过 </w:t>
      </w:r>
      <w:r>
        <w:rPr/>
        <w:t xml:space="preserve">SAVR </w:t>
      </w:r>
      <w:r>
        <w:rPr/>
        <w:t xml:space="preserve">或基于 </w:t>
      </w:r>
      <w:r>
        <w:rPr/>
        <w:t xml:space="preserve">CoreValve </w:t>
      </w:r>
      <w:r>
        <w:rPr/>
        <w:t xml:space="preserve">的 </w:t>
      </w:r>
      <w:r>
        <w:rPr/>
        <w:t xml:space="preserve">TAVI </w:t>
      </w:r>
      <w:r>
        <w:rPr/>
        <w:t xml:space="preserve">治疗后，研究发现 </w:t>
      </w:r>
      <w:r>
        <w:rPr/>
        <w:t xml:space="preserve">TAVI </w:t>
      </w:r>
      <w:r>
        <w:rPr/>
        <w:t xml:space="preserve">患者 </w:t>
      </w:r>
      <w:r>
        <w:rPr/>
        <w:t xml:space="preserve">6 </w:t>
      </w:r>
      <w:r>
        <w:rPr/>
        <w:t xml:space="preserve">年内结构性瓣膜退化的累积发病率显著低于 </w:t>
      </w:r>
      <w:r>
        <w:rPr/>
        <w:t>SAVR (4.8% vs. 24.0%, p &lt; 0.001)</w:t>
      </w:r>
      <w:r>
        <w:rPr/>
        <w:t>，而瓣周漏或患者</w:t>
      </w:r>
      <w:r>
        <w:rPr/>
        <w:t>-</w:t>
      </w:r>
      <w:r>
        <w:rPr/>
        <w:t xml:space="preserve">瓣膜不匹配所致非结构性瓣膜退化的累积发病率两者相仿 </w:t>
      </w:r>
      <w:r>
        <w:rPr/>
        <w:t>(54.0% vs. 57.8%, p = 0.52)</w:t>
      </w:r>
      <w:r>
        <w:rPr/>
        <w:t>。</w:t>
      </w:r>
      <w:r>
        <w:rPr/>
        <w:t xml:space="preserve">PARTNER 2A </w:t>
      </w:r>
      <w:r>
        <w:rPr/>
        <w:t xml:space="preserve">研究结果显示，经过 </w:t>
      </w:r>
      <w:r>
        <w:rPr/>
        <w:t xml:space="preserve">5 </w:t>
      </w:r>
      <w:r>
        <w:rPr/>
        <w:t xml:space="preserve">年随访，使用 </w:t>
      </w:r>
      <w:r>
        <w:rPr/>
        <w:t xml:space="preserve">SAPIEN XT </w:t>
      </w:r>
      <w:r>
        <w:rPr/>
        <w:t xml:space="preserve">的患者结构性瓣膜退化的累积发病率较 </w:t>
      </w:r>
      <w:r>
        <w:rPr/>
        <w:t xml:space="preserve">SAVR </w:t>
      </w:r>
      <w:r>
        <w:rPr/>
        <w:t xml:space="preserve">更高 </w:t>
      </w:r>
      <w:r>
        <w:rPr/>
        <w:t>(9.5% vs. 3.5%, HR = 2.61, p &lt; 0.001)</w:t>
      </w:r>
      <w:r>
        <w:rPr/>
        <w:t xml:space="preserve">，而使用 </w:t>
      </w:r>
      <w:r>
        <w:rPr/>
        <w:t xml:space="preserve">SAPIEN 3 </w:t>
      </w:r>
      <w:r>
        <w:rPr/>
        <w:t xml:space="preserve">的患者与 </w:t>
      </w:r>
      <w:r>
        <w:rPr/>
        <w:t xml:space="preserve">SAVR </w:t>
      </w:r>
      <w:r>
        <w:rPr/>
        <w:t xml:space="preserve">无统计学差异 </w:t>
      </w:r>
      <w:r>
        <w:rPr/>
        <w:t>(3.9% vs. 3.5%, HR = 1.16, p = 0.65)</w:t>
      </w:r>
      <w:r>
        <w:rPr>
          <w:vertAlign w:val="superscript"/>
        </w:rPr>
        <w:t>[15]</w:t>
      </w:r>
      <w:r>
        <w:rPr/>
        <w:t xml:space="preserve">。提示最新一代的经导管球囊扩张瓣膜与自膨式瓣膜的使用寿命已不劣于 </w:t>
      </w:r>
      <w:r>
        <w:rPr/>
        <w:t xml:space="preserve">SAVR </w:t>
      </w:r>
      <w:r>
        <w:rPr/>
        <w:t xml:space="preserve">瓣膜，可达 </w:t>
      </w:r>
      <w:r>
        <w:rPr/>
        <w:t xml:space="preserve">5 - 6 </w:t>
      </w:r>
      <w:r>
        <w:rPr/>
        <w:t xml:space="preserve">年。随着 </w:t>
      </w:r>
      <w:r>
        <w:rPr/>
        <w:t xml:space="preserve">TAVI </w:t>
      </w:r>
      <w:r>
        <w:rPr/>
        <w:t xml:space="preserve">在预期寿命较长的低手术风险人群中应用的增多，进一步延长 </w:t>
      </w:r>
      <w:r>
        <w:rPr/>
        <w:t xml:space="preserve">TAVI </w:t>
      </w:r>
      <w:r>
        <w:rPr/>
        <w:t xml:space="preserve">瓣膜的寿命未来将可能成为 </w:t>
      </w:r>
      <w:r>
        <w:rPr/>
        <w:t xml:space="preserve">TAVI </w:t>
      </w:r>
      <w:r>
        <w:rPr/>
        <w:t>在此类人群中应用的重要课题。</w:t>
      </w:r>
    </w:p>
    <w:p>
      <w:pPr>
        <w:pStyle w:val="TextBody"/>
        <w:rPr/>
      </w:pPr>
      <w:r>
        <w:rPr/>
        <w:t xml:space="preserve">经导管二尖瓣瓣膜植入技术 </w:t>
      </w:r>
      <w:r>
        <w:rPr/>
        <w:t xml:space="preserve">(TMVI) </w:t>
      </w:r>
      <w:r>
        <w:rPr/>
        <w:t xml:space="preserve">是除外科二尖瓣修复 </w:t>
      </w:r>
      <w:r>
        <w:rPr/>
        <w:t xml:space="preserve">(SMVR) </w:t>
      </w:r>
      <w:r>
        <w:rPr/>
        <w:t xml:space="preserve">之外的一种新兴的 </w:t>
      </w:r>
      <w:r>
        <w:rPr/>
        <w:t xml:space="preserve">DMVD </w:t>
      </w:r>
      <w:r>
        <w:rPr/>
        <w:t xml:space="preserve">治疗方式。多中心随机非盲临床试验 </w:t>
      </w:r>
      <w:r>
        <w:rPr/>
        <w:t>EVEREST II</w:t>
      </w:r>
      <w:r>
        <w:rPr>
          <w:vertAlign w:val="superscript"/>
        </w:rPr>
        <w:t>[16]</w:t>
      </w:r>
      <w:r>
        <w:rPr/>
        <w:t xml:space="preserve"> </w:t>
      </w:r>
      <w:r>
        <w:rPr/>
        <w:t xml:space="preserve">对 </w:t>
      </w:r>
      <w:r>
        <w:rPr/>
        <w:t xml:space="preserve">178 </w:t>
      </w:r>
      <w:r>
        <w:rPr/>
        <w:t xml:space="preserve">名重度二尖瓣关闭不全患者 </w:t>
      </w:r>
      <w:r>
        <w:rPr/>
        <w:t xml:space="preserve">(73.0% </w:t>
      </w:r>
      <w:r>
        <w:rPr/>
        <w:t>为退行性</w:t>
      </w:r>
      <w:r>
        <w:rPr/>
        <w:t xml:space="preserve">) </w:t>
      </w:r>
      <w:r>
        <w:rPr/>
        <w:t xml:space="preserve">进行了基于 </w:t>
      </w:r>
      <w:r>
        <w:rPr/>
        <w:t xml:space="preserve">MitraClip </w:t>
      </w:r>
      <w:r>
        <w:rPr/>
        <w:t xml:space="preserve">装置的 </w:t>
      </w:r>
      <w:r>
        <w:rPr/>
        <w:t xml:space="preserve">TMVI </w:t>
      </w:r>
      <w:r>
        <w:rPr/>
        <w:t xml:space="preserve">治疗。结果显示，接受 </w:t>
      </w:r>
      <w:r>
        <w:rPr/>
        <w:t xml:space="preserve">TMVI </w:t>
      </w:r>
      <w:r>
        <w:rPr/>
        <w:t xml:space="preserve">的患者二尖瓣关闭不全分级与术前相比有明显改善 </w:t>
      </w:r>
      <w:r>
        <w:rPr/>
        <w:t>(p &lt; 0.001)</w:t>
      </w:r>
      <w:r>
        <w:rPr/>
        <w:t xml:space="preserve">；尽管与接受 </w:t>
      </w:r>
      <w:r>
        <w:rPr/>
        <w:t xml:space="preserve">SMVR </w:t>
      </w:r>
      <w:r>
        <w:rPr/>
        <w:t>者相比，</w:t>
      </w:r>
      <w:r>
        <w:rPr/>
        <w:t xml:space="preserve">TMVI </w:t>
      </w:r>
      <w:r>
        <w:rPr/>
        <w:t xml:space="preserve">患者二次手术 </w:t>
      </w:r>
      <w:r>
        <w:rPr/>
        <w:t xml:space="preserve">(p = 0.003) </w:t>
      </w:r>
      <w:r>
        <w:rPr/>
        <w:t xml:space="preserve">与复发中度或重度二尖瓣关闭不全 </w:t>
      </w:r>
      <w:r>
        <w:rPr/>
        <w:t xml:space="preserve">(p = 0.02) </w:t>
      </w:r>
      <w:r>
        <w:rPr/>
        <w:t xml:space="preserve">的比例更高，但 </w:t>
      </w:r>
      <w:r>
        <w:rPr/>
        <w:t xml:space="preserve">5 </w:t>
      </w:r>
      <w:r>
        <w:rPr/>
        <w:t xml:space="preserve">年死亡率无明显差异 </w:t>
      </w:r>
      <w:r>
        <w:rPr/>
        <w:t>(20.8% vs. 26.8%, p = 0.36)</w:t>
      </w:r>
      <w:r>
        <w:rPr/>
        <w:t xml:space="preserve">。提示尽管 </w:t>
      </w:r>
      <w:r>
        <w:rPr/>
        <w:t xml:space="preserve">TMVI </w:t>
      </w:r>
      <w:r>
        <w:rPr/>
        <w:t xml:space="preserve">对二尖瓣关闭不全的改善低于 </w:t>
      </w:r>
      <w:r>
        <w:rPr/>
        <w:t>SMVR</w:t>
      </w:r>
      <w:r>
        <w:rPr/>
        <w:t xml:space="preserve">，但 </w:t>
      </w:r>
      <w:r>
        <w:rPr/>
        <w:t xml:space="preserve">TMVI </w:t>
      </w:r>
      <w:r>
        <w:rPr/>
        <w:t xml:space="preserve">在术后中长期同样可以有效改善 </w:t>
      </w:r>
      <w:r>
        <w:rPr/>
        <w:t xml:space="preserve">DMVD </w:t>
      </w:r>
      <w:r>
        <w:rPr/>
        <w:t xml:space="preserve">患者的预后。另一项前瞻性临床试验 </w:t>
      </w:r>
      <w:r>
        <w:rPr/>
        <w:t xml:space="preserve">MITRAL </w:t>
      </w:r>
      <w:r>
        <w:rPr/>
        <w:t>试验</w:t>
      </w:r>
      <w:r>
        <w:rPr>
          <w:vertAlign w:val="superscript"/>
        </w:rPr>
        <w:t>[17]</w:t>
      </w:r>
      <w:r>
        <w:rPr/>
        <w:t xml:space="preserve">对 </w:t>
      </w:r>
      <w:r>
        <w:rPr/>
        <w:t xml:space="preserve">31 </w:t>
      </w:r>
      <w:r>
        <w:rPr/>
        <w:t xml:space="preserve">例手术风险较高的二尖瓣环钙化的患者进行 </w:t>
      </w:r>
      <w:r>
        <w:rPr/>
        <w:t xml:space="preserve">TMVI </w:t>
      </w:r>
      <w:r>
        <w:rPr/>
        <w:t xml:space="preserve">治疗，其二尖瓣平均压力梯度同样得到了不同程度的改善 </w:t>
      </w:r>
      <w:r>
        <w:rPr/>
        <w:t>(11.1 mmHg vs. 6.1 mmHg, p = 0.01)</w:t>
      </w:r>
      <w:r>
        <w:rPr/>
        <w:t xml:space="preserve">。患者 </w:t>
      </w:r>
      <w:r>
        <w:rPr/>
        <w:t xml:space="preserve">30 </w:t>
      </w:r>
      <w:r>
        <w:rPr/>
        <w:t xml:space="preserve">天死亡率与 </w:t>
      </w:r>
      <w:r>
        <w:rPr/>
        <w:t xml:space="preserve">1 </w:t>
      </w:r>
      <w:r>
        <w:rPr/>
        <w:t xml:space="preserve">年死亡率分别为 </w:t>
      </w:r>
      <w:r>
        <w:rPr/>
        <w:t xml:space="preserve">16.7% </w:t>
      </w:r>
      <w:r>
        <w:rPr/>
        <w:t xml:space="preserve">与 </w:t>
      </w:r>
      <w:r>
        <w:rPr/>
        <w:t>34.5%</w:t>
      </w:r>
      <w:r>
        <w:rPr/>
        <w:t xml:space="preserve">，较美国胸外科协会评分 </w:t>
      </w:r>
      <w:r>
        <w:rPr/>
        <w:t xml:space="preserve">(STS-PROM) </w:t>
      </w:r>
      <w:r>
        <w:rPr/>
        <w:t xml:space="preserve">预测的死亡率更低。提示 </w:t>
      </w:r>
      <w:r>
        <w:rPr/>
        <w:t xml:space="preserve">TMVI </w:t>
      </w:r>
      <w:r>
        <w:rPr/>
        <w:t xml:space="preserve">对于手术风险较高的 </w:t>
      </w:r>
      <w:r>
        <w:rPr/>
        <w:t xml:space="preserve">DMVD </w:t>
      </w:r>
      <w:r>
        <w:rPr/>
        <w:t>患者可能有一定程度的获益。 未来经皮瓣膜置换技术替代外科瓣膜修复已成为当前的趋势，但由于二尖瓣解剖结构较半月瓣更为复杂，</w:t>
      </w:r>
      <w:r>
        <w:rPr/>
        <w:t xml:space="preserve">TMVI </w:t>
      </w:r>
      <w:r>
        <w:rPr/>
        <w:t xml:space="preserve">瓣膜功能仍无法与 </w:t>
      </w:r>
      <w:r>
        <w:rPr/>
        <w:t xml:space="preserve">SMVR </w:t>
      </w:r>
      <w:r>
        <w:rPr/>
        <w:t>相当；</w:t>
      </w:r>
      <w:r>
        <w:rPr/>
        <w:t xml:space="preserve">TMVI </w:t>
      </w:r>
      <w:r>
        <w:rPr/>
        <w:t>的推广可能仍需要对瓣膜植入装置的进一步改良。</w:t>
      </w:r>
      <w:bookmarkEnd w:id="3"/>
      <w:bookmarkEnd w:id="5"/>
    </w:p>
    <w:p>
      <w:pPr>
        <w:pStyle w:val="Heading1"/>
        <w:ind w:left="0" w:right="0" w:hanging="0"/>
        <w:rPr/>
      </w:pPr>
      <w:r>
        <w:rPr/>
        <w:t xml:space="preserve">关于 </w:t>
      </w:r>
      <w:r>
        <w:rPr/>
        <w:t xml:space="preserve">SDHVD </w:t>
      </w:r>
      <w:r>
        <w:rPr/>
        <w:t>未来诊疗进展的思考</w:t>
      </w:r>
    </w:p>
    <w:p>
      <w:pPr>
        <w:pStyle w:val="FirstParagraph"/>
        <w:rPr/>
      </w:pPr>
      <w:r>
        <w:rPr/>
        <w:t xml:space="preserve">近年来研究表明，心脏瓣膜病在世界范围内的发病率逐渐上升，尤其是 </w:t>
      </w:r>
      <w:r>
        <w:rPr/>
        <w:t xml:space="preserve">SDHVD </w:t>
      </w:r>
      <w:r>
        <w:rPr/>
        <w:t>的发病率不断增高。随着我国人口老龄化的加剧，</w:t>
      </w:r>
      <w:r>
        <w:rPr/>
        <w:t xml:space="preserve">SDHVD </w:t>
      </w:r>
      <w:r>
        <w:rPr/>
        <w:t xml:space="preserve">导致的经济负担及社会负担逐渐引起研究人员的重视。目前关于 </w:t>
      </w:r>
      <w:r>
        <w:rPr/>
        <w:t xml:space="preserve">SDHVD </w:t>
      </w:r>
      <w:r>
        <w:rPr/>
        <w:t xml:space="preserve">仍有很多亟待解决的问题。首先，目前我国的研究主要局限于院内患者，但研究发现，社区内 </w:t>
      </w:r>
      <w:r>
        <w:rPr/>
        <w:t xml:space="preserve">65 </w:t>
      </w:r>
      <w:r>
        <w:rPr/>
        <w:t xml:space="preserve">岁以上老年人群中过半数患有未被确诊的轻度及以上的心脏瓣膜病，以及 </w:t>
      </w:r>
      <w:r>
        <w:rPr/>
        <w:t xml:space="preserve">11.3% </w:t>
      </w:r>
      <w:r>
        <w:rPr/>
        <w:t>的老年人群患有未被确诊的中、重度心脏瓣膜病</w:t>
      </w:r>
      <w:r>
        <w:rPr>
          <w:vertAlign w:val="superscript"/>
        </w:rPr>
        <w:t>[10]</w:t>
      </w:r>
      <w:r>
        <w:rPr/>
        <w:t xml:space="preserve">；我国总体 </w:t>
      </w:r>
      <w:r>
        <w:rPr/>
        <w:t xml:space="preserve">VHD </w:t>
      </w:r>
      <w:r>
        <w:rPr/>
        <w:t xml:space="preserve">负荷目前仍然不明。其次，对 </w:t>
      </w:r>
      <w:r>
        <w:rPr/>
        <w:t xml:space="preserve">SDVHD </w:t>
      </w:r>
      <w:r>
        <w:rPr/>
        <w:t>的分型还有待细化。二叶性主动脉瓣是一类先天性主动脉瓣变异，与正常三叶主动脉瓣人群相比，这类患者出现瓣膜钙化时间更早且严重程度更高</w:t>
      </w:r>
      <w:r>
        <w:rPr>
          <w:vertAlign w:val="superscript"/>
        </w:rPr>
        <w:t>[18]</w:t>
      </w:r>
      <w:r>
        <w:rPr/>
        <w:t xml:space="preserve">。如何对这些病变进行病因鉴别仍需对 </w:t>
      </w:r>
      <w:r>
        <w:rPr/>
        <w:t xml:space="preserve">SDVHD </w:t>
      </w:r>
      <w:r>
        <w:rPr/>
        <w:t xml:space="preserve">发病机制的进一步阐明。近年来经导管瓣膜植入的广泛开展扩大了对老年 </w:t>
      </w:r>
      <w:r>
        <w:rPr/>
        <w:t xml:space="preserve">SDHVD </w:t>
      </w:r>
      <w:r>
        <w:rPr/>
        <w:t xml:space="preserve">患者治疗的选择，但在治疗上目前仅对中、重度 </w:t>
      </w:r>
      <w:r>
        <w:rPr/>
        <w:t xml:space="preserve">AS </w:t>
      </w:r>
      <w:r>
        <w:rPr/>
        <w:t xml:space="preserve">有充分的临床研究，是否可将相关技术用于其他心脏瓣膜病的治疗仍在探索过程中；随着技术的发展，新一代经导管植入瓣膜的寿命在 </w:t>
      </w:r>
      <w:r>
        <w:rPr/>
        <w:t xml:space="preserve">5 - 6 </w:t>
      </w:r>
      <w:r>
        <w:rPr/>
        <w:t xml:space="preserve">年内可以做到不劣于外科植入瓣膜，但随着早期进行 </w:t>
      </w:r>
      <w:r>
        <w:rPr/>
        <w:t xml:space="preserve">TAVI </w:t>
      </w:r>
      <w:r>
        <w:rPr/>
        <w:t xml:space="preserve">患者瓣膜的退化，如何对退化瓣膜进行处理成为一个棘手的问题。二次 </w:t>
      </w:r>
      <w:r>
        <w:rPr/>
        <w:t xml:space="preserve">SAVR </w:t>
      </w:r>
      <w:r>
        <w:rPr/>
        <w:t>有着较高的术后早期死亡率</w:t>
      </w:r>
      <w:r>
        <w:rPr>
          <w:vertAlign w:val="superscript"/>
        </w:rPr>
        <w:t>[19]</w:t>
      </w:r>
      <w:r>
        <w:rPr/>
        <w:t xml:space="preserve">；而瓣中瓣 </w:t>
      </w:r>
      <w:r>
        <w:rPr/>
        <w:t xml:space="preserve">TAVI </w:t>
      </w:r>
      <w:r>
        <w:rPr/>
        <w:t xml:space="preserve">作为一种可用于替代二次 </w:t>
      </w:r>
      <w:r>
        <w:rPr/>
        <w:t xml:space="preserve">SAVR </w:t>
      </w:r>
      <w:r>
        <w:rPr/>
        <w:t xml:space="preserve">的方式，虽有回顾性研究结果显示其预后不劣于二次 </w:t>
      </w:r>
      <w:r>
        <w:rPr/>
        <w:t>SAVR</w:t>
      </w:r>
      <w:r>
        <w:rPr>
          <w:vertAlign w:val="superscript"/>
        </w:rPr>
        <w:t>[20]</w:t>
      </w:r>
      <w:r>
        <w:rPr/>
        <w:t xml:space="preserve">，但仍缺乏相关的临床试验。未来如何进一步改善退化瓣膜的处理方法并延长 </w:t>
      </w:r>
      <w:r>
        <w:rPr/>
        <w:t xml:space="preserve">TAVI </w:t>
      </w:r>
      <w:r>
        <w:rPr/>
        <w:t xml:space="preserve">瓣膜寿命，将可能成为 </w:t>
      </w:r>
      <w:r>
        <w:rPr/>
        <w:t xml:space="preserve">TAVI </w:t>
      </w:r>
      <w:r>
        <w:rPr/>
        <w:t xml:space="preserve">在手术低风险人群，特别是预期寿命大于 </w:t>
      </w:r>
      <w:r>
        <w:rPr/>
        <w:t xml:space="preserve">10 </w:t>
      </w:r>
      <w:r>
        <w:rPr/>
        <w:t>年患者中应用的关键课题。</w:t>
      </w:r>
    </w:p>
    <w:p>
      <w:pPr>
        <w:pStyle w:val="TableofAuthorities"/>
        <w:rPr/>
      </w:pPr>
      <w:r>
        <w:rPr/>
        <w:t>参考文献</w:t>
      </w:r>
    </w:p>
    <w:p>
      <w:pPr>
        <w:pStyle w:val="Bibliography"/>
        <w:numPr>
          <w:ilvl w:val="0"/>
          <w:numId w:val="2"/>
        </w:numPr>
        <w:rPr/>
      </w:pPr>
      <w:bookmarkStart w:id="6" w:name="ref-pomeranceAgeingChangesHuman1967"/>
      <w:r>
        <w:rPr/>
        <w:t>Pomerance A. Ageing changes in human heart valves.[J]. British Heart Journal, 1967, 29(2): 222–231.</w:t>
      </w:r>
      <w:bookmarkEnd w:id="6"/>
    </w:p>
    <w:p>
      <w:pPr>
        <w:pStyle w:val="Bibliography"/>
        <w:numPr>
          <w:ilvl w:val="0"/>
          <w:numId w:val="2"/>
        </w:numPr>
        <w:rPr/>
      </w:pPr>
      <w:bookmarkStart w:id="7" w:name="ref-chenBurdenValvularHeart2020"/>
      <w:r>
        <w:rPr/>
        <w:t>Chen J, Li W, Xiang M. Burden of valvular heart disease, 1990-2017: Results from the Global Burden of Disease Study 2017[J]. Journal of Global Health, 2020, 10(2): 020404.</w:t>
      </w:r>
      <w:bookmarkEnd w:id="7"/>
    </w:p>
    <w:p>
      <w:pPr>
        <w:pStyle w:val="Bibliography"/>
        <w:numPr>
          <w:ilvl w:val="0"/>
          <w:numId w:val="2"/>
        </w:numPr>
        <w:rPr/>
      </w:pPr>
      <w:bookmarkStart w:id="8" w:name="ref-yadgirGlobalRegionalNational2020"/>
      <w:r>
        <w:rPr/>
        <w:t>Yadgir S, Johnson C O, Aboyans V, et al. Global, Regional, and National Burden of Calcific Aortic Valve and Degenerative Mitral Valve Diseases, 1990–2017[J]. Circulation, 2020, 141(21): 1670–1680.</w:t>
      </w:r>
      <w:bookmarkEnd w:id="8"/>
    </w:p>
    <w:p>
      <w:pPr>
        <w:pStyle w:val="Bibliography"/>
        <w:numPr>
          <w:ilvl w:val="0"/>
          <w:numId w:val="2"/>
        </w:numPr>
        <w:rPr/>
      </w:pPr>
      <w:bookmarkStart w:id="9" w:name="ref-rajamannanCalcificAorticValve2011"/>
      <w:r>
        <w:rPr/>
        <w:t>Rajamannan N M, Evans F J, Aikawa E, et al. Calcific aortic valve disease: Not simply a degenerative process: A review and agenda for research from the National Heart and Lung and Blood Institute Aortic Stenosis Working Group. Executive summary: Calcific aortic valve disease-2011 update[J]. Circulation, 2011, 124(16): 1783–1791.</w:t>
      </w:r>
      <w:bookmarkEnd w:id="9"/>
    </w:p>
    <w:p>
      <w:pPr>
        <w:pStyle w:val="Bibliography"/>
        <w:numPr>
          <w:ilvl w:val="0"/>
          <w:numId w:val="2"/>
        </w:numPr>
        <w:rPr/>
      </w:pPr>
      <w:bookmarkStart w:id="10" w:name="ref-beyersdorf2021ESCEACTS2021"/>
      <w:r>
        <w:rPr/>
        <w:t>Beyersdorf F, Vahanian A, Milojevic M, et al. 2021 ESC/EACTS Guidelines for the management of valvular heart disease[J]. European Journal of Cardio-Thoracic Surgery, 2021, 60(4): 727–800.</w:t>
      </w:r>
      <w:bookmarkEnd w:id="10"/>
    </w:p>
    <w:p>
      <w:pPr>
        <w:pStyle w:val="Bibliography"/>
        <w:numPr>
          <w:ilvl w:val="0"/>
          <w:numId w:val="2"/>
        </w:numPr>
        <w:rPr/>
      </w:pPr>
      <w:bookmarkStart w:id="11" w:name="ref-timmisEuropeanSocietyCardiology2022"/>
      <w:r>
        <w:rPr/>
        <w:t>Timmis A, Vardas P, Townsend N, et al. European Society of Cardiology: Cardiovascular disease statistics 2021[J]. European Heart Journal, 2022, 43: 1–84.</w:t>
      </w:r>
      <w:bookmarkEnd w:id="11"/>
    </w:p>
    <w:p>
      <w:pPr>
        <w:pStyle w:val="Bibliography"/>
        <w:numPr>
          <w:ilvl w:val="0"/>
          <w:numId w:val="2"/>
        </w:numPr>
        <w:rPr/>
      </w:pPr>
      <w:bookmarkStart w:id="12" w:name="ref-watkinsGlobalRegionalNational2017"/>
      <w:r>
        <w:rPr/>
        <w:t>Watkins D A, Johnson C O, Colquhoun S M, et al. Global, Regional, and National Burden of Rheumatic Heart Disease, 1990-2015[J]. The New England Journal of Medicine, 2017, 377(8): 713–722.</w:t>
      </w:r>
      <w:bookmarkEnd w:id="12"/>
    </w:p>
    <w:p>
      <w:pPr>
        <w:pStyle w:val="Bibliography"/>
        <w:numPr>
          <w:ilvl w:val="0"/>
          <w:numId w:val="2"/>
        </w:numPr>
        <w:rPr/>
      </w:pPr>
      <w:bookmarkStart w:id="13" w:name="Xbb7c5b7e5342e9103223ac7fe78bf5bae379478"/>
      <w:r>
        <w:rPr/>
        <w:t>叶蕴青</w:t>
      </w:r>
      <w:r>
        <w:rPr/>
        <w:t xml:space="preserve">, </w:t>
      </w:r>
      <w:r>
        <w:rPr/>
        <w:t>许海燕</w:t>
      </w:r>
      <w:r>
        <w:rPr/>
        <w:t xml:space="preserve">, </w:t>
      </w:r>
      <w:r>
        <w:rPr/>
        <w:t>李喆</w:t>
      </w:r>
      <w:r>
        <w:rPr/>
        <w:t xml:space="preserve">, et al. </w:t>
      </w:r>
      <w:r>
        <w:rPr/>
        <w:t>中国不同区域老年瓣膜性心脏病构成和病因分析</w:t>
      </w:r>
      <w:r>
        <w:rPr/>
        <w:t xml:space="preserve">[J]. </w:t>
      </w:r>
      <w:r>
        <w:rPr/>
        <w:t>中华老年心脑血管病杂志</w:t>
      </w:r>
      <w:r>
        <w:rPr/>
        <w:t>, 2019, 21(7): 676–682.</w:t>
      </w:r>
      <w:bookmarkEnd w:id="13"/>
    </w:p>
    <w:p>
      <w:pPr>
        <w:pStyle w:val="Bibliography"/>
        <w:numPr>
          <w:ilvl w:val="0"/>
          <w:numId w:val="2"/>
        </w:numPr>
        <w:rPr/>
      </w:pPr>
      <w:bookmarkStart w:id="14" w:name="ref-yangCurrentStatusEtiology2021"/>
      <w:r>
        <w:rPr/>
        <w:t>Yang Y, Wang Z, Chen Z, et al. Current status and etiology of valvular heart disease in China: A population-based survey[J]. BMC Cardiovascular Disorders, 2021, 21: 339.</w:t>
      </w:r>
      <w:bookmarkEnd w:id="14"/>
    </w:p>
    <w:p>
      <w:pPr>
        <w:pStyle w:val="Bibliography"/>
        <w:numPr>
          <w:ilvl w:val="0"/>
          <w:numId w:val="2"/>
        </w:numPr>
        <w:rPr/>
      </w:pPr>
      <w:bookmarkStart w:id="15" w:name="Xe00420aa2b168e185ec7b6c6155bf9a6878a0de"/>
      <w:r>
        <w:rPr/>
        <w:t>d’Arcy J L, Coffey S, Loudon M A, et al. Large-scale community echocardiographic screening reveals a major burden of undiagnosed valvular heart disease in older people: The OxVALVE Population Cohort Study[J]. European Heart Journal, 2016, 37(47): 3515–3522.</w:t>
      </w:r>
      <w:bookmarkEnd w:id="15"/>
    </w:p>
    <w:p>
      <w:pPr>
        <w:pStyle w:val="Bibliography"/>
        <w:numPr>
          <w:ilvl w:val="0"/>
          <w:numId w:val="2"/>
        </w:numPr>
        <w:rPr/>
      </w:pPr>
      <w:bookmarkStart w:id="16" w:name="ref-mack5yearOutcomesTranscatheter2015"/>
      <w:r>
        <w:rPr/>
        <w:t>Mack M J, Leon M B, Smith C R, et al. 5-year outcomes of transcatheter aortic valve replacement or surgical aortic valve replacement for high surgical risk patients with aortic stenosis (PARTNER 1): A randomised controlled trial[J]. The Lancet, 2015, 385(9986): 2477–2484.</w:t>
      </w:r>
      <w:bookmarkEnd w:id="16"/>
    </w:p>
    <w:p>
      <w:pPr>
        <w:pStyle w:val="Bibliography"/>
        <w:numPr>
          <w:ilvl w:val="0"/>
          <w:numId w:val="2"/>
        </w:numPr>
        <w:rPr/>
      </w:pPr>
      <w:bookmarkStart w:id="17" w:name="Xb35872ed613b9084c26bf01a4ef747ce63866d8"/>
      <w:r>
        <w:rPr/>
        <w:t>Leon M B, Smith C R, Mack M J, et al. Transcatheter or Surgical Aortic-Valve Replacement in Intermediate-Risk Patients[J]. New England Journal of Medicine, 2016, 374(17): 1609–1620.</w:t>
      </w:r>
      <w:bookmarkEnd w:id="17"/>
    </w:p>
    <w:p>
      <w:pPr>
        <w:pStyle w:val="Bibliography"/>
        <w:numPr>
          <w:ilvl w:val="0"/>
          <w:numId w:val="2"/>
        </w:numPr>
        <w:rPr/>
      </w:pPr>
      <w:bookmarkStart w:id="18" w:name="Xda81a6a74b9296fd2fe59d1744edd49579f30e7"/>
      <w:r>
        <w:rPr/>
        <w:t>Pibarot P, Salaun E, Dahou A, et al. Echocardiographic Results of Transcatheter Versus Surgical Aortic Valve Replacement in Low-Risk Patients: The PARTNER 3 Trial[J]. Circulation, 2020, 141(19): 1527–1537.</w:t>
      </w:r>
      <w:bookmarkEnd w:id="18"/>
    </w:p>
    <w:p>
      <w:pPr>
        <w:pStyle w:val="Bibliography"/>
        <w:numPr>
          <w:ilvl w:val="0"/>
          <w:numId w:val="2"/>
        </w:numPr>
        <w:rPr/>
      </w:pPr>
      <w:bookmarkStart w:id="19" w:name="X49f9093a6615d072a0728ce0af92dcac6536e72"/>
      <w:r>
        <w:rPr/>
        <w:t>Søndergaard L, Ihlemann N, Capodanno D, et al. Durability of Transcatheter and Surgical Bioprosthetic Aortic Valves in Patients at Lower Surgical Risk[J]. Journal of the American College of Cardiology, 2019, 73(5): 546–553.</w:t>
      </w:r>
      <w:bookmarkEnd w:id="19"/>
    </w:p>
    <w:p>
      <w:pPr>
        <w:pStyle w:val="Bibliography"/>
        <w:numPr>
          <w:ilvl w:val="0"/>
          <w:numId w:val="2"/>
        </w:numPr>
        <w:rPr/>
      </w:pPr>
      <w:bookmarkStart w:id="20" w:name="Xcc1b582c0d2ed39ddef8d67ac47e47ce0960b09"/>
      <w:r>
        <w:rPr/>
        <w:t>Pibarot P, Ternacle J, Jaber W A, et al. Structural Deterioration of Transcatheter Versus Surgical Aortic Valve Bioprostheses in the PARTNER-2 Trial[J]. Journal of the American College of Cardiology, 2020, 76(16): 1830–1843.</w:t>
      </w:r>
      <w:bookmarkEnd w:id="20"/>
    </w:p>
    <w:p>
      <w:pPr>
        <w:pStyle w:val="Bibliography"/>
        <w:numPr>
          <w:ilvl w:val="0"/>
          <w:numId w:val="2"/>
        </w:numPr>
        <w:rPr/>
      </w:pPr>
      <w:bookmarkStart w:id="21" w:name="Xc30eb8193a6e14786a33ce993715b69d30bda4b"/>
      <w:r>
        <w:rPr/>
        <w:t>Feldman T, Kar S, Elmariah S, et al. Randomized Comparison of Percutaneous Repair and Surgery for Mitral Regurgitation: 5-Year Results of EVEREST II[J]. Journal of the American College of Cardiology, 2015, 66(25): 2844–2854.</w:t>
      </w:r>
      <w:bookmarkEnd w:id="21"/>
    </w:p>
    <w:p>
      <w:pPr>
        <w:pStyle w:val="Bibliography"/>
        <w:numPr>
          <w:ilvl w:val="0"/>
          <w:numId w:val="2"/>
        </w:numPr>
        <w:rPr/>
      </w:pPr>
      <w:bookmarkStart w:id="22" w:name="ref-guerreroProspectiveStudyTMVR2021"/>
      <w:r>
        <w:rPr/>
        <w:t>Guerrero M, Wang D D, Eleid M F, et al. Prospective Study of TMVR Using Balloon-Expandable Aortic Transcatheter Valves in MAC: MITRAL Trial 1-Year Outcomes[J]. JACC: Cardiovascular Interventions, 2021, 14(8): 830–845.</w:t>
      </w:r>
      <w:bookmarkEnd w:id="22"/>
    </w:p>
    <w:p>
      <w:pPr>
        <w:pStyle w:val="Bibliography"/>
        <w:numPr>
          <w:ilvl w:val="0"/>
          <w:numId w:val="2"/>
        </w:numPr>
        <w:rPr/>
      </w:pPr>
      <w:bookmarkStart w:id="23" w:name="ref-masriContemporaryNaturalHistory2017"/>
      <w:r>
        <w:rPr/>
        <w:t>Masri A, Svensson L G, Griffin B P, et al. Contemporary natural history of bicuspid aortic valve disease: A systematic review[J]. Heart (British Cardiac Society), 2017, 103(17): 1323–1330.</w:t>
      </w:r>
      <w:bookmarkEnd w:id="23"/>
    </w:p>
    <w:p>
      <w:pPr>
        <w:pStyle w:val="Bibliography"/>
        <w:numPr>
          <w:ilvl w:val="0"/>
          <w:numId w:val="2"/>
        </w:numPr>
        <w:rPr/>
      </w:pPr>
      <w:bookmarkStart w:id="24" w:name="X8531a80b9a35daf2f8ef7bfcc269ac4954dc094"/>
      <w:r>
        <w:rPr/>
        <w:t>Hirji S A, Percy E D, McGurk S, et al. Incidence, Characteristics, Predictors, and Outcomes of Surgical Explantation After Transcatheter Aortic Valve Replacement[J]. Journal of the American College of Cardiology, 2020, 76(16): 1848–1859.</w:t>
      </w:r>
      <w:bookmarkEnd w:id="24"/>
    </w:p>
    <w:p>
      <w:pPr>
        <w:pStyle w:val="Bibliography"/>
        <w:numPr>
          <w:ilvl w:val="0"/>
          <w:numId w:val="2"/>
        </w:numPr>
        <w:rPr/>
      </w:pPr>
      <w:bookmarkStart w:id="25" w:name="ref-tamTranscatheterViVRedo2020"/>
      <w:bookmarkStart w:id="26" w:name="refs"/>
      <w:bookmarkStart w:id="27" w:name="关于-sdhvd-未来诊疗进展的思考"/>
      <w:r>
        <w:rPr/>
        <w:t>Tam D Y, Dharma C, Rocha R V, et al. Transcatheter ViV Versus Redo Surgical AVR for the Management of Failed Biological Prosthesis: Early and Late Outcomes in a Propensity-Matched Cohort[J]. JACC. Cardiovascular interventions, 2020, 13(6): 765–774.</w:t>
      </w:r>
      <w:bookmarkEnd w:id="25"/>
      <w:bookmarkEnd w:id="26"/>
      <w:bookmarkEnd w:id="27"/>
    </w:p>
    <w:sectPr>
      <w:footerReference w:type="even" r:id="rId2"/>
      <w:footerReference w:type="default" r:id="rId3"/>
      <w:footerReference w:type="first" r:id="rId4"/>
      <w:type w:val="nextPage"/>
      <w:pgSz w:w="12240" w:h="15840"/>
      <w:pgMar w:left="1440" w:right="1440" w:gutter="0" w:header="0" w:top="1440" w:footer="1440" w:bottom="1941"/>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Noto Sans CJK SC">
    <w:charset w:val="01"/>
    <w:family w:val="roman"/>
    <w:pitch w:val="variable"/>
  </w:font>
  <w:font w:name="Open Sans">
    <w:charset w:val="01"/>
    <w:family w:val="roman"/>
    <w:pitch w:val="variable"/>
  </w:font>
  <w:font w:name="Consolas">
    <w:charset w:val="01"/>
    <w:family w:val="roman"/>
    <w:pitch w:val="variable"/>
  </w:font>
  <w:font w:name="OpenSymbol">
    <w:altName w:val="Arial Unicode MS"/>
    <w:charset w:val="01"/>
    <w:family w:val="roman"/>
    <w:pitch w:val="variable"/>
  </w:font>
  <w:font w:name="Noto Sans">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144" w:after="0"/>
      <w:contextualSpacing/>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144" w:after="0"/>
      <w:contextualSpacing/>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144" w:after="0"/>
      <w:contextualSpacing/>
      <w:rPr/>
    </w:pPr>
    <w:r>
      <mc:AlternateContent>
        <mc:Choice Requires="wps">
          <w:drawing>
            <wp:anchor behindDoc="1" distT="5080" distB="5080" distL="5080" distR="4445" simplePos="0" locked="0" layoutInCell="0" allowOverlap="1" relativeHeight="2">
              <wp:simplePos x="0" y="0"/>
              <wp:positionH relativeFrom="column">
                <wp:posOffset>-11430</wp:posOffset>
              </wp:positionH>
              <wp:positionV relativeFrom="paragraph">
                <wp:posOffset>-10160</wp:posOffset>
              </wp:positionV>
              <wp:extent cx="1642110" cy="635"/>
              <wp:effectExtent l="5080" t="5080" r="4445" b="5080"/>
              <wp:wrapNone/>
              <wp:docPr id="1" name="Horizontal line 7"/>
              <a:graphic xmlns:a="http://schemas.openxmlformats.org/drawingml/2006/main">
                <a:graphicData uri="http://schemas.microsoft.com/office/word/2010/wordprocessingShape">
                  <wps:wsp>
                    <wps:cNvSpPr/>
                    <wps:spPr>
                      <a:xfrm>
                        <a:off x="0" y="0"/>
                        <a:ext cx="164196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0.9pt,-0.8pt" to="128.35pt,-0.8pt" ID="Horizontal line 7" stroked="t" o:allowincell="f" style="position:absolute">
              <v:stroke color="black" weight="9000" joinstyle="round" endcap="flat"/>
              <v:fill o:detectmouseclick="t" on="false"/>
              <w10:wrap type="none"/>
            </v:line>
          </w:pict>
        </mc:Fallback>
      </mc:AlternateContent>
    </w:r>
    <w:r>
      <w:rPr/>
      <w:t>作者单位：</w:t>
    </w:r>
    <w:r>
      <w:rPr/>
      <w:t>201600</w:t>
    </w:r>
    <w:r>
      <w:rPr/>
      <w:t>　上海，上海市松江区中心医院 心内科</w:t>
    </w:r>
  </w:p>
  <w:p>
    <w:pPr>
      <w:pStyle w:val="Footer"/>
      <w:rPr/>
    </w:pPr>
    <w:r>
      <w:rPr/>
      <w:t>通讯作者：陈长源，</w:t>
    </w:r>
    <w:r>
      <w:rPr/>
      <w:t>Email:chenchangyuan.75@163.com</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suff w:val="space"/>
      <w:lvlText w:val="%1　"/>
      <w:lvlJc w:val="left"/>
      <w:pPr>
        <w:tabs>
          <w:tab w:val="num" w:pos="0"/>
        </w:tabs>
        <w:ind w:left="432" w:hanging="432"/>
      </w:pPr>
      <w:rPr>
        <w:sz w:val="20"/>
        <w:b/>
        <w:rFonts w:ascii="Open Sans" w:hAnsi="Open Sans" w:eastAsia="Open Sans"/>
        <w:lang w:eastAsia="zh-CN"/>
      </w:rPr>
    </w:lvl>
    <w:lvl w:ilvl="1">
      <w:start w:val="1"/>
      <w:pStyle w:val="Heading2"/>
      <w:numFmt w:val="decimal"/>
      <w:suff w:val="space"/>
      <w:lvlText w:val="%1.%2　"/>
      <w:lvlJc w:val="left"/>
      <w:pPr>
        <w:tabs>
          <w:tab w:val="num" w:pos="0"/>
        </w:tabs>
        <w:ind w:left="0" w:hanging="0"/>
      </w:pPr>
      <w:rPr>
        <w:sz w:val="20"/>
        <w:b w:val="false"/>
        <w:rFonts w:ascii="Open Sans" w:hAnsi="Open Sans" w:eastAsia="Open Sans"/>
        <w:lang w:eastAsia="zh-CN"/>
      </w:rPr>
    </w:lvl>
    <w:lvl w:ilvl="2">
      <w:start w:val="1"/>
      <w:pStyle w:val="Heading3"/>
      <w:numFmt w:val="decimal"/>
      <w:suff w:val="space"/>
      <w:lvlText w:val="%1.%2.%3　"/>
      <w:lvlJc w:val="left"/>
      <w:pPr>
        <w:tabs>
          <w:tab w:val="num" w:pos="0"/>
        </w:tabs>
        <w:ind w:left="0" w:hanging="0"/>
      </w:pPr>
      <w:rPr>
        <w:sz w:val="20"/>
        <w:b w:val="false"/>
        <w:rFonts w:ascii="Open Sans" w:hAnsi="Open Sans" w:eastAsia="Open Sans"/>
        <w:lang w:eastAsia="zh-CN"/>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720"/>
        </w:tabs>
        <w:ind w:left="720" w:hanging="720"/>
      </w:pPr>
      <w:rPr/>
    </w:lvl>
    <w:lvl w:ilvl="1">
      <w:start w:val="1"/>
      <w:numFmt w:val="decimal"/>
      <w:lvlText w:val="%2."/>
      <w:lvlJc w:val="left"/>
      <w:pPr>
        <w:tabs>
          <w:tab w:val="num" w:pos="794"/>
        </w:tabs>
        <w:ind w:left="1151" w:hanging="397"/>
      </w:pPr>
      <w:rPr/>
    </w:lvl>
    <w:lvl w:ilvl="2">
      <w:start w:val="1"/>
      <w:numFmt w:val="decimal"/>
      <w:lvlText w:val="%3."/>
      <w:lvlJc w:val="left"/>
      <w:pPr>
        <w:tabs>
          <w:tab w:val="num" w:pos="1191"/>
        </w:tabs>
        <w:ind w:left="1548" w:hanging="397"/>
      </w:pPr>
      <w:rPr/>
    </w:lvl>
    <w:lvl w:ilvl="3">
      <w:start w:val="1"/>
      <w:numFmt w:val="decimal"/>
      <w:lvlText w:val="%4."/>
      <w:lvlJc w:val="left"/>
      <w:pPr>
        <w:tabs>
          <w:tab w:val="num" w:pos="1588"/>
        </w:tabs>
        <w:ind w:left="1945" w:hanging="397"/>
      </w:pPr>
      <w:rPr/>
    </w:lvl>
    <w:lvl w:ilvl="4">
      <w:start w:val="1"/>
      <w:numFmt w:val="decimal"/>
      <w:lvlText w:val="%5."/>
      <w:lvlJc w:val="left"/>
      <w:pPr>
        <w:tabs>
          <w:tab w:val="num" w:pos="1985"/>
        </w:tabs>
        <w:ind w:left="2342" w:hanging="397"/>
      </w:pPr>
      <w:rPr/>
    </w:lvl>
    <w:lvl w:ilvl="5">
      <w:start w:val="1"/>
      <w:numFmt w:val="decimal"/>
      <w:lvlText w:val="%6."/>
      <w:lvlJc w:val="left"/>
      <w:pPr>
        <w:tabs>
          <w:tab w:val="num" w:pos="2381"/>
        </w:tabs>
        <w:ind w:left="2738" w:hanging="397"/>
      </w:pPr>
      <w:rPr/>
    </w:lvl>
    <w:lvl w:ilvl="6">
      <w:start w:val="1"/>
      <w:numFmt w:val="decimal"/>
      <w:lvlText w:val="%7."/>
      <w:lvlJc w:val="left"/>
      <w:pPr>
        <w:tabs>
          <w:tab w:val="num" w:pos="2778"/>
        </w:tabs>
        <w:ind w:left="3135" w:hanging="397"/>
      </w:pPr>
      <w:rPr/>
    </w:lvl>
    <w:lvl w:ilvl="7">
      <w:start w:val="1"/>
      <w:numFmt w:val="decimal"/>
      <w:lvlText w:val="%8."/>
      <w:lvlJc w:val="left"/>
      <w:pPr>
        <w:tabs>
          <w:tab w:val="num" w:pos="3175"/>
        </w:tabs>
        <w:ind w:left="3532" w:hanging="397"/>
      </w:pPr>
      <w:rPr/>
    </w:lvl>
    <w:lvl w:ilvl="8">
      <w:start w:val="1"/>
      <w:numFmt w:val="decimal"/>
      <w:lvlText w:val="%9."/>
      <w:lvlJc w:val="left"/>
      <w:pPr>
        <w:tabs>
          <w:tab w:val="num" w:pos="3572"/>
        </w:tabs>
        <w:ind w:left="3929" w:hanging="397"/>
      </w:pPr>
      <w:rPr/>
    </w:lvl>
  </w:abstractNum>
  <w:num w:numId="1">
    <w:abstractNumId w:val="1"/>
  </w:num>
  <w:num w:numId="2">
    <w:abstractNumId w:val="2"/>
  </w:num>
</w:numbering>
</file>

<file path=word/settings.xml><?xml version="1.0" encoding="utf-8"?>
<w:settings xmlns:w="http://schemas.openxmlformats.org/wordprocessingml/2006/main">
  <w:zoom w:percent="130"/>
  <w:embedSystemFonts/>
  <w:defaultTabStop w:val="643"/>
  <w:autoHyphenation w:val="true"/>
  <w:evenAndOddHeaders/>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宋体"/>
        <w:sz w:val="24"/>
        <w:szCs w:val="24"/>
        <w:lang w:val="en-US" w:eastAsia="en-US" w:bidi="ar-SA"/>
      </w:rPr>
    </w:rPrDefault>
    <w:pPrDefault>
      <w:pPr>
        <w:suppressAutoHyphens w:val="true"/>
      </w:pPr>
    </w:pPrDefault>
  </w:docDefaults>
  <w:style w:type="paragraph" w:styleId="Normal">
    <w:name w:val="Normal"/>
    <w:qFormat/>
    <w:pPr>
      <w:widowControl/>
      <w:suppressAutoHyphens w:val="true"/>
      <w:overflowPunct w:val="true"/>
      <w:bidi w:val="0"/>
      <w:spacing w:before="0" w:after="200"/>
      <w:jc w:val="left"/>
    </w:pPr>
    <w:rPr>
      <w:rFonts w:ascii="Noto Sans CJK SC" w:hAnsi="Noto Sans CJK SC" w:eastAsia="Cambria" w:cs="宋体"/>
      <w:color w:val="auto"/>
      <w:kern w:val="0"/>
      <w:sz w:val="24"/>
      <w:szCs w:val="24"/>
      <w:lang w:val="en-US" w:eastAsia="en-US" w:bidi="ar-SA"/>
    </w:rPr>
  </w:style>
  <w:style w:type="paragraph" w:styleId="Heading1">
    <w:name w:val="Heading 1"/>
    <w:basedOn w:val="Normal"/>
    <w:next w:val="TextBody"/>
    <w:qFormat/>
    <w:pPr>
      <w:keepNext w:val="true"/>
      <w:keepLines/>
      <w:numPr>
        <w:ilvl w:val="0"/>
        <w:numId w:val="1"/>
      </w:numPr>
      <w:spacing w:lineRule="auto" w:line="360" w:before="0" w:after="0"/>
      <w:ind w:left="0" w:right="0" w:hanging="0"/>
      <w:jc w:val="left"/>
      <w:outlineLvl w:val="0"/>
    </w:pPr>
    <w:rPr>
      <w:rFonts w:ascii="Noto Sans CJK SC" w:hAnsi="Noto Sans CJK SC" w:eastAsia="Noto Sans CJK SC" w:cs="宋体"/>
      <w:b/>
      <w:bCs w:val="false"/>
      <w:color w:val="000000"/>
      <w:sz w:val="20"/>
      <w:szCs w:val="24"/>
      <w:lang w:eastAsia="zh-CN"/>
    </w:rPr>
  </w:style>
  <w:style w:type="paragraph" w:styleId="Heading2">
    <w:name w:val="Heading 2"/>
    <w:basedOn w:val="Normal"/>
    <w:next w:val="TextBody"/>
    <w:qFormat/>
    <w:pPr>
      <w:keepNext w:val="true"/>
      <w:keepLines/>
      <w:numPr>
        <w:ilvl w:val="1"/>
        <w:numId w:val="1"/>
      </w:numPr>
      <w:spacing w:lineRule="auto" w:line="360" w:before="0" w:after="0"/>
      <w:ind w:left="0" w:right="0" w:hanging="0"/>
      <w:jc w:val="left"/>
      <w:outlineLvl w:val="1"/>
    </w:pPr>
    <w:rPr>
      <w:rFonts w:ascii="Open Sans" w:hAnsi="Open Sans" w:eastAsia="Noto Sans CJK SC" w:cs="宋体"/>
      <w:b w:val="false"/>
      <w:bCs w:val="false"/>
      <w:color w:val="000000"/>
      <w:sz w:val="20"/>
      <w:szCs w:val="24"/>
      <w:lang w:eastAsia="zh-CN"/>
    </w:rPr>
  </w:style>
  <w:style w:type="paragraph" w:styleId="Heading3">
    <w:name w:val="Heading 3"/>
    <w:basedOn w:val="Normal"/>
    <w:next w:val="TextBody"/>
    <w:qFormat/>
    <w:pPr>
      <w:keepNext w:val="true"/>
      <w:keepLines/>
      <w:numPr>
        <w:ilvl w:val="2"/>
        <w:numId w:val="1"/>
      </w:numPr>
      <w:spacing w:lineRule="auto" w:line="240" w:before="0" w:after="0"/>
      <w:ind w:left="0" w:right="0" w:hanging="0"/>
      <w:jc w:val="left"/>
      <w:outlineLvl w:val="2"/>
    </w:pPr>
    <w:rPr>
      <w:rFonts w:ascii="Noto Sans CJK SC" w:hAnsi="Noto Sans CJK SC" w:eastAsia="Noto Sans CJK SC" w:cs="宋体"/>
      <w:b w:val="false"/>
      <w:bCs w:val="false"/>
      <w:color w:val="000000"/>
      <w:sz w:val="20"/>
      <w:szCs w:val="24"/>
      <w:lang w:eastAsia="zh-CN"/>
    </w:rPr>
  </w:style>
  <w:style w:type="paragraph" w:styleId="Heading4">
    <w:name w:val="Heading 4"/>
    <w:basedOn w:val="Normal"/>
    <w:next w:val="TextBody"/>
    <w:qFormat/>
    <w:pPr>
      <w:keepNext w:val="true"/>
      <w:keepLines/>
      <w:spacing w:before="200" w:after="0"/>
      <w:jc w:val="left"/>
      <w:outlineLvl w:val="3"/>
    </w:pPr>
    <w:rPr>
      <w:rFonts w:ascii="Noto Sans CJK SC" w:hAnsi="Noto Sans CJK SC" w:eastAsia="Cambria" w:cs="宋体"/>
      <w:b w:val="false"/>
      <w:bCs w:val="false"/>
      <w:i/>
      <w:color w:val="000000"/>
      <w:sz w:val="24"/>
      <w:szCs w:val="24"/>
    </w:rPr>
  </w:style>
  <w:style w:type="paragraph" w:styleId="Heading5">
    <w:name w:val="Heading 5"/>
    <w:basedOn w:val="Normal"/>
    <w:next w:val="TextBody"/>
    <w:qFormat/>
    <w:pPr>
      <w:keepNext w:val="true"/>
      <w:keepLines/>
      <w:spacing w:before="200" w:after="0"/>
      <w:jc w:val="left"/>
      <w:outlineLvl w:val="4"/>
    </w:pPr>
    <w:rPr>
      <w:rFonts w:ascii="Noto Sans CJK SC" w:hAnsi="Noto Sans CJK SC" w:eastAsia="Cambria" w:cs="宋体"/>
      <w:iCs/>
      <w:color w:val="000000"/>
      <w:sz w:val="24"/>
      <w:szCs w:val="24"/>
    </w:rPr>
  </w:style>
  <w:style w:type="paragraph" w:styleId="Heading6">
    <w:name w:val="Heading 6"/>
    <w:basedOn w:val="Normal"/>
    <w:next w:val="TextBody"/>
    <w:qFormat/>
    <w:pPr>
      <w:keepNext w:val="true"/>
      <w:keepLines/>
      <w:spacing w:before="200" w:after="0"/>
      <w:jc w:val="left"/>
      <w:outlineLvl w:val="5"/>
    </w:pPr>
    <w:rPr>
      <w:rFonts w:ascii="Noto Sans CJK SC" w:hAnsi="Noto Sans CJK SC" w:eastAsia="Cambria" w:cs="宋体"/>
      <w:color w:val="000000"/>
      <w:sz w:val="24"/>
      <w:szCs w:val="24"/>
    </w:rPr>
  </w:style>
  <w:style w:type="paragraph" w:styleId="Heading7">
    <w:name w:val="Heading 7"/>
    <w:basedOn w:val="Normal"/>
    <w:next w:val="TextBody"/>
    <w:qFormat/>
    <w:pPr>
      <w:keepNext w:val="true"/>
      <w:keepLines/>
      <w:spacing w:before="200" w:after="0"/>
      <w:jc w:val="left"/>
      <w:outlineLvl w:val="6"/>
    </w:pPr>
    <w:rPr>
      <w:rFonts w:ascii="Noto Sans CJK SC" w:hAnsi="Noto Sans CJK SC" w:eastAsia="Cambria" w:cs="宋体"/>
      <w:color w:val="000000"/>
      <w:sz w:val="24"/>
      <w:szCs w:val="24"/>
    </w:rPr>
  </w:style>
  <w:style w:type="paragraph" w:styleId="Heading8">
    <w:name w:val="Heading 8"/>
    <w:basedOn w:val="Normal"/>
    <w:next w:val="TextBody"/>
    <w:qFormat/>
    <w:pPr>
      <w:keepNext w:val="true"/>
      <w:keepLines/>
      <w:spacing w:before="200" w:after="0"/>
      <w:jc w:val="left"/>
      <w:outlineLvl w:val="7"/>
    </w:pPr>
    <w:rPr>
      <w:rFonts w:ascii="Noto Sans CJK SC" w:hAnsi="Noto Sans CJK SC" w:eastAsia="Cambria" w:cs="宋体"/>
      <w:color w:val="000000"/>
      <w:sz w:val="24"/>
      <w:szCs w:val="24"/>
    </w:rPr>
  </w:style>
  <w:style w:type="paragraph" w:styleId="Heading9">
    <w:name w:val="Heading 9"/>
    <w:basedOn w:val="Normal"/>
    <w:next w:val="TextBody"/>
    <w:qFormat/>
    <w:pPr>
      <w:keepNext w:val="true"/>
      <w:keepLines/>
      <w:spacing w:before="200" w:after="0"/>
      <w:jc w:val="left"/>
      <w:outlineLvl w:val="8"/>
    </w:pPr>
    <w:rPr>
      <w:rFonts w:ascii="Noto Sans CJK SC" w:hAnsi="Noto Sans CJK SC" w:eastAsia="Cambria" w:cs="宋体"/>
      <w:color w:val="000000"/>
      <w:sz w:val="24"/>
      <w:szCs w:val="24"/>
    </w:rPr>
  </w:style>
  <w:style w:type="character" w:styleId="DefaultParagraphFont">
    <w:name w:val="Default Paragraph Font"/>
    <w:qFormat/>
    <w:rPr/>
  </w:style>
  <w:style w:type="character" w:styleId="BodyTextChar">
    <w:name w:val="Body Text Char"/>
    <w:basedOn w:val="DefaultParagraphFont"/>
    <w:qFormat/>
    <w:rPr/>
  </w:style>
  <w:style w:type="character" w:styleId="VerbatimChar">
    <w:name w:val="Verbatim Char"/>
    <w:basedOn w:val="BodyTextChar"/>
    <w:qFormat/>
    <w:rPr>
      <w:rFonts w:ascii="Consolas" w:hAnsi="Consolas"/>
      <w:sz w:val="22"/>
    </w:rPr>
  </w:style>
  <w:style w:type="character" w:styleId="SectionNumber">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rPr>
  </w:style>
  <w:style w:type="character" w:styleId="EndnoteAnchor">
    <w:name w:val="Endnote Anchor"/>
    <w:rPr>
      <w:vertAlign w:val="superscript"/>
    </w:rPr>
  </w:style>
  <w:style w:type="character" w:styleId="EndnoteCharacters">
    <w:name w:val="Endnote Characters"/>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HeadingNumbers">
    <w:name w:val="Heading Numbers"/>
    <w:basedOn w:val="Bullets"/>
    <w:qFormat/>
    <w:rPr>
      <w:rFonts w:ascii="Open Sans" w:hAnsi="Open Sans" w:eastAsia="Open Sans"/>
      <w:b/>
      <w:sz w:val="20"/>
      <w:lang w:eastAsia="zh-CN"/>
    </w:rPr>
  </w:style>
  <w:style w:type="character" w:styleId="KeywordTok">
    <w:name w:val="KeywordTok"/>
    <w:basedOn w:val="VerbatimChar"/>
    <w:qFormat/>
    <w:rPr>
      <w:b/>
      <w:color w:val="007020"/>
    </w:rPr>
  </w:style>
  <w:style w:type="character" w:styleId="DataTypeTok">
    <w:name w:val="DataTypeTok"/>
    <w:basedOn w:val="VerbatimChar"/>
    <w:qFormat/>
    <w:rPr>
      <w:color w:val="902000"/>
    </w:rPr>
  </w:style>
  <w:style w:type="character" w:styleId="DecValTok">
    <w:name w:val="DecValTok"/>
    <w:basedOn w:val="VerbatimChar"/>
    <w:qFormat/>
    <w:rPr>
      <w:color w:val="40A070"/>
    </w:rPr>
  </w:style>
  <w:style w:type="character" w:styleId="BaseNTok">
    <w:name w:val="BaseNTok"/>
    <w:basedOn w:val="VerbatimChar"/>
    <w:qFormat/>
    <w:rPr>
      <w:color w:val="40A070"/>
    </w:rPr>
  </w:style>
  <w:style w:type="character" w:styleId="FloatTok">
    <w:name w:val="FloatTok"/>
    <w:basedOn w:val="VerbatimChar"/>
    <w:qFormat/>
    <w:rPr>
      <w:color w:val="40A070"/>
    </w:rPr>
  </w:style>
  <w:style w:type="character" w:styleId="ConstantTok">
    <w:name w:val="ConstantTok"/>
    <w:basedOn w:val="VerbatimChar"/>
    <w:qFormat/>
    <w:rPr>
      <w:color w:val="880000"/>
    </w:rPr>
  </w:style>
  <w:style w:type="character" w:styleId="CharTok">
    <w:name w:val="CharTok"/>
    <w:basedOn w:val="VerbatimChar"/>
    <w:qFormat/>
    <w:rPr>
      <w:color w:val="4070A0"/>
    </w:rPr>
  </w:style>
  <w:style w:type="character" w:styleId="SpecialCharTok">
    <w:name w:val="SpecialCharTok"/>
    <w:basedOn w:val="VerbatimChar"/>
    <w:qFormat/>
    <w:rPr>
      <w:color w:val="4070A0"/>
    </w:rPr>
  </w:style>
  <w:style w:type="character" w:styleId="StringTok">
    <w:name w:val="StringTok"/>
    <w:basedOn w:val="VerbatimChar"/>
    <w:qFormat/>
    <w:rPr>
      <w:color w:val="4070A0"/>
    </w:rPr>
  </w:style>
  <w:style w:type="character" w:styleId="VerbatimStringTok">
    <w:name w:val="VerbatimStringTok"/>
    <w:basedOn w:val="VerbatimChar"/>
    <w:qFormat/>
    <w:rPr>
      <w:color w:val="4070A0"/>
    </w:rPr>
  </w:style>
  <w:style w:type="character" w:styleId="SpecialStringTok">
    <w:name w:val="SpecialStringTok"/>
    <w:basedOn w:val="VerbatimChar"/>
    <w:qFormat/>
    <w:rPr>
      <w:color w:val="BB6688"/>
    </w:rPr>
  </w:style>
  <w:style w:type="character" w:styleId="ImportTok">
    <w:name w:val="ImportTok"/>
    <w:basedOn w:val="VerbatimChar"/>
    <w:qFormat/>
    <w:rPr/>
  </w:style>
  <w:style w:type="character" w:styleId="CommentTok">
    <w:name w:val="CommentTok"/>
    <w:basedOn w:val="VerbatimChar"/>
    <w:qFormat/>
    <w:rPr>
      <w:i/>
      <w:color w:val="60A0B0"/>
    </w:rPr>
  </w:style>
  <w:style w:type="character" w:styleId="DocumentationTok">
    <w:name w:val="DocumentationTok"/>
    <w:basedOn w:val="VerbatimChar"/>
    <w:qFormat/>
    <w:rPr>
      <w:i/>
      <w:color w:val="BA2121"/>
    </w:rPr>
  </w:style>
  <w:style w:type="character" w:styleId="AnnotationTok">
    <w:name w:val="AnnotationTok"/>
    <w:basedOn w:val="VerbatimChar"/>
    <w:qFormat/>
    <w:rPr>
      <w:b/>
      <w:i/>
      <w:color w:val="60A0B0"/>
    </w:rPr>
  </w:style>
  <w:style w:type="character" w:styleId="CommentVarTok">
    <w:name w:val="CommentVarTok"/>
    <w:basedOn w:val="VerbatimChar"/>
    <w:qFormat/>
    <w:rPr>
      <w:b/>
      <w:i/>
      <w:color w:val="60A0B0"/>
    </w:rPr>
  </w:style>
  <w:style w:type="character" w:styleId="OtherTok">
    <w:name w:val="OtherTok"/>
    <w:basedOn w:val="VerbatimChar"/>
    <w:qFormat/>
    <w:rPr>
      <w:color w:val="007020"/>
    </w:rPr>
  </w:style>
  <w:style w:type="character" w:styleId="FunctionTok">
    <w:name w:val="FunctionTok"/>
    <w:basedOn w:val="VerbatimChar"/>
    <w:qFormat/>
    <w:rPr>
      <w:color w:val="06287E"/>
    </w:rPr>
  </w:style>
  <w:style w:type="character" w:styleId="VariableTok">
    <w:name w:val="VariableTok"/>
    <w:basedOn w:val="VerbatimChar"/>
    <w:qFormat/>
    <w:rPr>
      <w:color w:val="19177C"/>
    </w:rPr>
  </w:style>
  <w:style w:type="character" w:styleId="ControlFlowTok">
    <w:name w:val="ControlFlowTok"/>
    <w:basedOn w:val="VerbatimChar"/>
    <w:qFormat/>
    <w:rPr>
      <w:b/>
      <w:color w:val="007020"/>
    </w:rPr>
  </w:style>
  <w:style w:type="character" w:styleId="OperatorTok">
    <w:name w:val="OperatorTok"/>
    <w:basedOn w:val="VerbatimChar"/>
    <w:qFormat/>
    <w:rPr>
      <w:color w:val="666666"/>
    </w:rPr>
  </w:style>
  <w:style w:type="character" w:styleId="BuiltInTok">
    <w:name w:val="BuiltInTok"/>
    <w:basedOn w:val="VerbatimChar"/>
    <w:qFormat/>
    <w:rPr/>
  </w:style>
  <w:style w:type="character" w:styleId="ExtensionTok">
    <w:name w:val="ExtensionTok"/>
    <w:basedOn w:val="VerbatimChar"/>
    <w:qFormat/>
    <w:rPr/>
  </w:style>
  <w:style w:type="character" w:styleId="PreprocessorTok">
    <w:name w:val="PreprocessorTok"/>
    <w:basedOn w:val="VerbatimChar"/>
    <w:qFormat/>
    <w:rPr>
      <w:color w:val="BC7A00"/>
    </w:rPr>
  </w:style>
  <w:style w:type="character" w:styleId="AttributeTok">
    <w:name w:val="AttributeTok"/>
    <w:basedOn w:val="VerbatimChar"/>
    <w:qFormat/>
    <w:rPr>
      <w:color w:val="7D9029"/>
    </w:rPr>
  </w:style>
  <w:style w:type="character" w:styleId="RegionMarkerTok">
    <w:name w:val="RegionMarkerTok"/>
    <w:basedOn w:val="VerbatimChar"/>
    <w:qFormat/>
    <w:rPr/>
  </w:style>
  <w:style w:type="character" w:styleId="InformationTok">
    <w:name w:val="InformationTok"/>
    <w:basedOn w:val="VerbatimChar"/>
    <w:qFormat/>
    <w:rPr>
      <w:b/>
      <w:i/>
      <w:color w:val="60A0B0"/>
    </w:rPr>
  </w:style>
  <w:style w:type="character" w:styleId="WarningTok">
    <w:name w:val="WarningTok"/>
    <w:basedOn w:val="VerbatimChar"/>
    <w:qFormat/>
    <w:rPr>
      <w:b/>
      <w:i/>
      <w:color w:val="60A0B0"/>
    </w:rPr>
  </w:style>
  <w:style w:type="character" w:styleId="AlertTok">
    <w:name w:val="AlertTok"/>
    <w:basedOn w:val="VerbatimChar"/>
    <w:qFormat/>
    <w:rPr>
      <w:b/>
      <w:color w:val="FF0000"/>
    </w:rPr>
  </w:style>
  <w:style w:type="character" w:styleId="ErrorTok">
    <w:name w:val="ErrorTok"/>
    <w:basedOn w:val="VerbatimChar"/>
    <w:qFormat/>
    <w:rPr>
      <w:b/>
      <w:color w:val="FF0000"/>
    </w:rPr>
  </w:style>
  <w:style w:type="character" w:styleId="NormalTok">
    <w:name w:val="NormalTok"/>
    <w:basedOn w:val="VerbatimChar"/>
    <w:qFormat/>
    <w:rPr/>
  </w:style>
  <w:style w:type="paragraph" w:styleId="Heading">
    <w:name w:val="Heading"/>
    <w:basedOn w:val="Normal"/>
    <w:next w:val="TextBody"/>
    <w:qFormat/>
    <w:pPr>
      <w:keepNext w:val="true"/>
      <w:spacing w:before="240" w:after="120"/>
    </w:pPr>
    <w:rPr>
      <w:rFonts w:ascii="Noto Sans CJK SC" w:hAnsi="Noto Sans CJK SC" w:eastAsia="Noto Sans CJK SC" w:cs="DejaVu Sans"/>
      <w:sz w:val="28"/>
      <w:szCs w:val="28"/>
    </w:rPr>
  </w:style>
  <w:style w:type="paragraph" w:styleId="TextBody">
    <w:name w:val="Body Text"/>
    <w:basedOn w:val="Normal"/>
    <w:link w:val="BodyTextChar"/>
    <w:pPr>
      <w:spacing w:lineRule="auto" w:line="360" w:before="0" w:after="0"/>
      <w:ind w:left="0" w:right="0" w:firstLine="418"/>
      <w:jc w:val="both"/>
    </w:pPr>
    <w:rPr>
      <w:rFonts w:ascii="Noto Sans CJK SC" w:hAnsi="Noto Sans CJK SC" w:eastAsia="Noto Sans CJK SC"/>
      <w:sz w:val="20"/>
      <w:lang w:eastAsia="zh-CN"/>
    </w:rPr>
  </w:style>
  <w:style w:type="paragraph" w:styleId="List">
    <w:name w:val="List"/>
    <w:basedOn w:val="TextBody"/>
    <w:pPr/>
    <w:rPr>
      <w:rFonts w:cs="DejaVu 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DejaVu Sans"/>
    </w:rPr>
  </w:style>
  <w:style w:type="paragraph" w:styleId="FirstParagraph">
    <w:name w:val="First Paragraph"/>
    <w:basedOn w:val="TextBody"/>
    <w:next w:val="TextBody"/>
    <w:qFormat/>
    <w:pPr>
      <w:jc w:val="both"/>
    </w:pPr>
    <w:rPr>
      <w:rFonts w:ascii="Noto Sans CJK SC" w:hAnsi="Noto Sans CJK SC" w:eastAsia="Noto Sans CJK SC"/>
      <w:color w:val="000000"/>
      <w:sz w:val="20"/>
      <w:lang w:eastAsia="zh-CN"/>
    </w:rPr>
  </w:style>
  <w:style w:type="paragraph" w:styleId="Compact">
    <w:name w:val="Compact"/>
    <w:basedOn w:val="TextBody"/>
    <w:qFormat/>
    <w:pPr>
      <w:spacing w:before="36" w:after="36"/>
    </w:pPr>
    <w:rPr/>
  </w:style>
  <w:style w:type="paragraph" w:styleId="Title">
    <w:name w:val="Title"/>
    <w:basedOn w:val="Normal"/>
    <w:next w:val="TextBody"/>
    <w:qFormat/>
    <w:pPr>
      <w:keepNext w:val="true"/>
      <w:keepLines/>
      <w:numPr>
        <w:ilvl w:val="0"/>
        <w:numId w:val="0"/>
      </w:numPr>
      <w:suppressLineNumbers/>
      <w:spacing w:lineRule="auto" w:line="360" w:before="480" w:after="240"/>
      <w:jc w:val="left"/>
    </w:pPr>
    <w:rPr>
      <w:rFonts w:ascii="Noto Sans CJK SC" w:hAnsi="Noto Sans CJK SC" w:eastAsia="Noto Sans CJK SC" w:cs="宋体"/>
      <w:b w:val="false"/>
      <w:bCs/>
      <w:color w:val="000000"/>
      <w:sz w:val="28"/>
      <w:szCs w:val="36"/>
      <w:lang w:eastAsia="zh-CN"/>
    </w:rPr>
  </w:style>
  <w:style w:type="paragraph" w:styleId="Subtitle">
    <w:name w:val="Subtitle"/>
    <w:basedOn w:val="Title"/>
    <w:next w:val="TextBody"/>
    <w:qFormat/>
    <w:pPr>
      <w:keepNext w:val="true"/>
      <w:keepLines/>
      <w:spacing w:before="144" w:after="0"/>
      <w:jc w:val="center"/>
    </w:pPr>
    <w:rPr>
      <w:rFonts w:ascii="Open Sans" w:hAnsi="Open Sans" w:eastAsia="Noto Sans CJK SC" w:cs="宋体"/>
      <w:b/>
      <w:bCs/>
      <w:color w:val="000000"/>
      <w:kern w:val="0"/>
      <w:sz w:val="24"/>
      <w:szCs w:val="24"/>
      <w:lang w:val="en-US" w:eastAsia="zh-CN" w:bidi="ar-SA"/>
    </w:rPr>
  </w:style>
  <w:style w:type="paragraph" w:styleId="Author">
    <w:name w:val="Author"/>
    <w:next w:val="TextBody"/>
    <w:qFormat/>
    <w:pPr>
      <w:keepNext w:val="true"/>
      <w:keepLines/>
      <w:widowControl/>
      <w:suppressAutoHyphens w:val="true"/>
      <w:overflowPunct w:val="true"/>
      <w:bidi w:val="0"/>
      <w:spacing w:lineRule="auto" w:line="360" w:before="202" w:after="202"/>
      <w:contextualSpacing/>
      <w:jc w:val="left"/>
    </w:pPr>
    <w:rPr>
      <w:rFonts w:ascii="Open Sans" w:hAnsi="Open Sans" w:eastAsia="Noto Sans CJK SC" w:cs="宋体"/>
      <w:color w:val="auto"/>
      <w:kern w:val="0"/>
      <w:sz w:val="20"/>
      <w:szCs w:val="20"/>
      <w:lang w:val="en-US" w:eastAsia="zh-CN" w:bidi="ar-SA"/>
    </w:rPr>
  </w:style>
  <w:style w:type="paragraph" w:styleId="Date">
    <w:name w:val="Date"/>
    <w:next w:val="TextBody"/>
    <w:qFormat/>
    <w:pPr>
      <w:keepNext w:val="true"/>
      <w:keepLines/>
      <w:widowControl/>
      <w:suppressAutoHyphens w:val="true"/>
      <w:overflowPunct w:val="true"/>
      <w:bidi w:val="0"/>
      <w:spacing w:before="0" w:after="200"/>
      <w:jc w:val="center"/>
    </w:pPr>
    <w:rPr>
      <w:rFonts w:ascii="Cambria" w:hAnsi="Cambria" w:eastAsia="Cambria" w:cs="宋体"/>
      <w:color w:val="auto"/>
      <w:kern w:val="0"/>
      <w:sz w:val="24"/>
      <w:szCs w:val="24"/>
      <w:lang w:val="en-US" w:eastAsia="en-US" w:bidi="ar-SA"/>
    </w:rPr>
  </w:style>
  <w:style w:type="paragraph" w:styleId="Abstract">
    <w:name w:val="Abstract"/>
    <w:basedOn w:val="Normal"/>
    <w:next w:val="TextBody"/>
    <w:qFormat/>
    <w:pPr>
      <w:keepNext w:val="true"/>
      <w:keepLines/>
      <w:tabs>
        <w:tab w:val="clear" w:pos="643"/>
      </w:tabs>
      <w:spacing w:lineRule="auto" w:line="360" w:before="432" w:after="432"/>
      <w:ind w:left="0" w:right="0" w:firstLine="259"/>
      <w:contextualSpacing/>
      <w:jc w:val="left"/>
    </w:pPr>
    <w:rPr>
      <w:rFonts w:ascii="Open Sans" w:hAnsi="Open Sans" w:eastAsia="Noto Sans CJK SC"/>
      <w:color w:val="000000"/>
      <w:sz w:val="18"/>
      <w:szCs w:val="24"/>
      <w:lang w:eastAsia="zh-CN"/>
    </w:rPr>
  </w:style>
  <w:style w:type="paragraph" w:styleId="Bibliography">
    <w:name w:val="Bibliography"/>
    <w:basedOn w:val="Normal"/>
    <w:qFormat/>
    <w:pPr>
      <w:numPr>
        <w:ilvl w:val="0"/>
        <w:numId w:val="2"/>
      </w:numPr>
      <w:suppressAutoHyphens w:val="true"/>
      <w:spacing w:lineRule="auto" w:line="360" w:before="0" w:after="0"/>
      <w:jc w:val="left"/>
    </w:pPr>
    <w:rPr>
      <w:rFonts w:ascii="Noto Sans" w:hAnsi="Noto Sans" w:eastAsia="Noto Sans CJK SC"/>
      <w:b w:val="false"/>
      <w:bCs w:val="false"/>
      <w:spacing w:val="0"/>
      <w:sz w:val="18"/>
      <w:szCs w:val="22"/>
      <w:lang w:eastAsia="zh-CN"/>
    </w:rPr>
  </w:style>
  <w:style w:type="paragraph" w:styleId="BlockText">
    <w:name w:val="Block Text"/>
    <w:basedOn w:val="TextBody"/>
    <w:next w:val="TextBody"/>
    <w:qFormat/>
    <w:pPr>
      <w:spacing w:before="100" w:after="100"/>
      <w:ind w:left="480" w:right="480" w:hanging="0"/>
    </w:pPr>
    <w:rPr/>
  </w:style>
  <w:style w:type="paragraph" w:styleId="Footnote">
    <w:name w:val="Footnote Text"/>
    <w:basedOn w:val="Normal"/>
    <w:pPr>
      <w:spacing w:before="0" w:after="0"/>
    </w:pPr>
    <w:rPr>
      <w:rFonts w:eastAsia="Noto Sans CJK SC"/>
      <w:sz w:val="18"/>
      <w:lang w:eastAsia="zh-CN"/>
    </w:rPr>
  </w:style>
  <w:style w:type="paragraph" w:styleId="DefinitionTerm">
    <w:name w:val="Definition Term"/>
    <w:basedOn w:val="Normal"/>
    <w:next w:val="Definition"/>
    <w:qFormat/>
    <w:pPr>
      <w:keepNext w:val="true"/>
      <w:keepLines/>
      <w:spacing w:before="0" w:after="0"/>
    </w:pPr>
    <w:rPr>
      <w:b/>
    </w:rPr>
  </w:style>
  <w:style w:type="paragraph" w:styleId="Definition">
    <w:name w:val="Definition"/>
    <w:basedOn w:val="Normal"/>
    <w:qFormat/>
    <w:pPr/>
    <w:rPr/>
  </w:style>
  <w:style w:type="paragraph" w:styleId="TableCaption">
    <w:name w:val="Table Caption"/>
    <w:basedOn w:val="Caption"/>
    <w:qFormat/>
    <w:pPr>
      <w:keepNext w:val="true"/>
    </w:pPr>
    <w:rPr/>
  </w:style>
  <w:style w:type="paragraph" w:styleId="ImageCaption">
    <w:name w:val="Image Caption"/>
    <w:basedOn w:val="Caption"/>
    <w:qFormat/>
    <w:pPr/>
    <w:rPr/>
  </w:style>
  <w:style w:type="paragraph" w:styleId="Figure">
    <w:name w:val="Figure"/>
    <w:basedOn w:val="Normal"/>
    <w:qFormat/>
    <w:pPr/>
    <w:rPr/>
  </w:style>
  <w:style w:type="paragraph" w:styleId="CaptionedFigure">
    <w:name w:val="Captioned Figure"/>
    <w:basedOn w:val="Figure"/>
    <w:qFormat/>
    <w:pPr>
      <w:keepNext w:val="true"/>
    </w:pPr>
    <w:rPr/>
  </w:style>
  <w:style w:type="paragraph" w:styleId="IndexHeading">
    <w:name w:val="Index Heading"/>
    <w:basedOn w:val="Heading"/>
    <w:pPr>
      <w:suppressLineNumbers/>
      <w:ind w:left="0" w:right="0" w:hanging="0"/>
      <w:jc w:val="center"/>
    </w:pPr>
    <w:rPr>
      <w:b/>
      <w:bCs/>
      <w:spacing w:val="200"/>
      <w:sz w:val="20"/>
      <w:szCs w:val="32"/>
      <w:lang w:eastAsia="zh-CN"/>
    </w:rPr>
  </w:style>
  <w:style w:type="paragraph" w:styleId="ContentsHeading">
    <w:name w:val="TOC Heading"/>
    <w:basedOn w:val="Heading1"/>
    <w:next w:val="TextBody"/>
    <w:pPr>
      <w:numPr>
        <w:ilvl w:val="0"/>
        <w:numId w:val="0"/>
      </w:numPr>
      <w:spacing w:lineRule="auto" w:line="259" w:before="245" w:after="0"/>
      <w:ind w:left="0" w:right="0" w:hanging="0"/>
      <w:outlineLvl w:val="9"/>
    </w:pPr>
    <w:rPr>
      <w:rFonts w:ascii="Calibri" w:hAnsi="Calibri" w:eastAsia="Cambria" w:cs="宋体"/>
      <w:b w:val="false"/>
      <w:bCs w:val="false"/>
      <w:color w:val="365F91"/>
    </w:rPr>
  </w:style>
  <w:style w:type="paragraph" w:styleId="TableofAuthorities" w:customStyle="1">
    <w:name w:val="Table of Authorities"/>
    <w:basedOn w:val="IndexHeading"/>
    <w:qFormat/>
    <w:pPr/>
    <w:rPr/>
  </w:style>
  <w:style w:type="paragraph" w:styleId="AnnotationText">
    <w:name w:val="Annotation Text"/>
    <w:basedOn w:val="TextBody"/>
    <w:qFormat/>
    <w:pPr>
      <w:ind w:left="2268" w:right="0" w:hanging="0"/>
    </w:pPr>
    <w:rPr/>
  </w:style>
  <w:style w:type="paragraph" w:styleId="AuthorEnglish">
    <w:name w:val="Author English"/>
    <w:basedOn w:val="Author"/>
    <w:qFormat/>
    <w:pPr>
      <w:spacing w:before="72" w:after="0"/>
      <w:contextualSpacing/>
    </w:pPr>
    <w:rPr>
      <w:i/>
    </w:rPr>
  </w:style>
  <w:style w:type="paragraph" w:styleId="AuthorAffiliationEnglish">
    <w:name w:val="Author Affiliation English"/>
    <w:basedOn w:val="AuthorEnglish"/>
    <w:qFormat/>
    <w:pPr>
      <w:jc w:val="left"/>
    </w:pPr>
    <w:rPr>
      <w:i w:val="false"/>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SourceCode">
    <w:name w:val="Source Code"/>
    <w:basedOn w:val="Normal"/>
    <w:link w:val="VerbatimChar"/>
    <w:qFormat/>
    <w:pPr/>
    <w:rPr/>
  </w:style>
  <w:style w:type="paragraph" w:styleId="Heading10">
    <w:name w:val="Heading 10"/>
    <w:basedOn w:val="Heading"/>
    <w:next w:val="TextBody"/>
    <w:qFormat/>
    <w:pPr>
      <w:spacing w:before="60" w:after="60"/>
    </w:pPr>
    <w:rPr>
      <w:b/>
      <w:bCs/>
      <w:sz w:val="18"/>
      <w:szCs w:val="18"/>
    </w:rPr>
  </w:style>
  <w:style w:type="paragraph" w:styleId="HeaderandFooter">
    <w:name w:val="Header and Footer"/>
    <w:basedOn w:val="Normal"/>
    <w:qFormat/>
    <w:pPr>
      <w:suppressLineNumbers/>
      <w:tabs>
        <w:tab w:val="clear" w:pos="643"/>
        <w:tab w:val="center" w:pos="4680" w:leader="none"/>
        <w:tab w:val="right" w:pos="9360" w:leader="none"/>
      </w:tabs>
    </w:pPr>
    <w:rPr/>
  </w:style>
  <w:style w:type="paragraph" w:styleId="Footer">
    <w:name w:val="Footer"/>
    <w:basedOn w:val="HeaderandFooter"/>
    <w:pPr>
      <w:suppressLineNumbers/>
      <w:spacing w:before="144" w:after="0"/>
      <w:contextualSpacing/>
    </w:pPr>
    <w:rPr>
      <w:rFonts w:ascii="Noto Sans" w:hAnsi="Noto Sans" w:eastAsia="Noto Sans CJK SC"/>
      <w:sz w:val="16"/>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numbering" w:styleId="Numbering123">
    <w:name w:val="Numbering 123"/>
    <w:qFormat/>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TotalTime>
  <Application>LibreOffice/7.3.4.2$Linux_X86_64 LibreOffice_project/30$Build-2</Application>
  <AppVersion>15.0000</AppVersion>
  <Pages>6</Pages>
  <Words>4310</Words>
  <Characters>8498</Characters>
  <CharactersWithSpaces>9620</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2022-06-19T02:59:56Z</dcterms:created>
  <dc:creator>谢祯晖　陈长源</dc:creator>
  <dc:description/>
  <cp:keywords>心脏瓣膜病 流行病学 治疗 进展</cp:keywords>
  <dc:language>zh-CN</dc:language>
  <cp:lastModifiedBy/>
  <dcterms:modified xsi:type="dcterms:W3CDTF">2022-06-24T15:59:52Z</dcterms:modified>
  <cp:revision>8</cp:revision>
  <dc:subject/>
  <dc:title>老年退行性心脏瓣膜病的流行病学现状及诊疗进展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JKmainfont">
    <vt:lpwstr>WenQuanYi Micro Hei</vt:lpwstr>
  </property>
  <property fmtid="{D5CDD505-2E9C-101B-9397-08002B2CF9AE}" pid="3" name="abstract">
    <vt:lpwstr>【摘要】 近 20 年来，随着中国人群平均寿命逐渐延长，老年人群（年龄 &gt; 65 岁）中心脏瓣膜病发病率、死亡率与致残率不断升高，老年退行性心脏瓣膜病 (SDHVD) 已逐渐成为一项全球性的公共卫生问题。鉴于目前全球心脏瓣膜病分型的流行病学分布较前出现明显变化，以及 SDHVD 的诊疗相较以往出现显著进展，本文拟对 SDHVD 的流行病学现状及诊疗进展作一综述。【关键词】 心脏瓣膜病；流行病学；治疗；进展</vt:lpwstr>
  </property>
  <property fmtid="{D5CDD505-2E9C-101B-9397-08002B2CF9AE}" pid="4" name="affiliation">
    <vt:lpwstr>南京医科大学</vt:lpwstr>
  </property>
  <property fmtid="{D5CDD505-2E9C-101B-9397-08002B2CF9AE}" pid="5" name="autoEqnLabels">
    <vt:lpwstr>False</vt:lpwstr>
  </property>
  <property fmtid="{D5CDD505-2E9C-101B-9397-08002B2CF9AE}" pid="6" name="autoSectionLabels">
    <vt:lpwstr>False</vt:lpwstr>
  </property>
  <property fmtid="{D5CDD505-2E9C-101B-9397-08002B2CF9AE}" pid="7" name="bibliography">
    <vt:lpwstr>review.bib</vt:lpwstr>
  </property>
  <property fmtid="{D5CDD505-2E9C-101B-9397-08002B2CF9AE}" pid="8" name="ccsDelim">
    <vt:lpwstr>, </vt:lpwstr>
  </property>
  <property fmtid="{D5CDD505-2E9C-101B-9397-08002B2CF9AE}" pid="9" name="ccsLabelSep">
    <vt:lpwstr> — </vt:lpwstr>
  </property>
  <property fmtid="{D5CDD505-2E9C-101B-9397-08002B2CF9AE}" pid="10" name="ccsTemplate">
    <vt:lpwstr>iccsLabelSept</vt:lpwstr>
  </property>
  <property fmtid="{D5CDD505-2E9C-101B-9397-08002B2CF9AE}" pid="11" name="chapDelim">
    <vt:lpwstr>.</vt:lpwstr>
  </property>
  <property fmtid="{D5CDD505-2E9C-101B-9397-08002B2CF9AE}" pid="12" name="chapters">
    <vt:lpwstr>False</vt:lpwstr>
  </property>
  <property fmtid="{D5CDD505-2E9C-101B-9397-08002B2CF9AE}" pid="13" name="chaptersDepth">
    <vt:lpwstr>1</vt:lpwstr>
  </property>
  <property fmtid="{D5CDD505-2E9C-101B-9397-08002B2CF9AE}" pid="14" name="codeBlockCaptions">
    <vt:lpwstr>False</vt:lpwstr>
  </property>
  <property fmtid="{D5CDD505-2E9C-101B-9397-08002B2CF9AE}" pid="15" name="cref">
    <vt:lpwstr>False</vt:lpwstr>
  </property>
  <property fmtid="{D5CDD505-2E9C-101B-9397-08002B2CF9AE}" pid="16" name="crossrefYaml">
    <vt:lpwstr>pandoc-crossref.yaml</vt:lpwstr>
  </property>
  <property fmtid="{D5CDD505-2E9C-101B-9397-08002B2CF9AE}" pid="17" name="csl">
    <vt:lpwstr>/home/heyrict/.csl/lcxb-numeric-en-docx.csl</vt:lpwstr>
  </property>
  <property fmtid="{D5CDD505-2E9C-101B-9397-08002B2CF9AE}" pid="18" name="eqLabels">
    <vt:lpwstr>arabic</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header-includes">
    <vt:lpwstr/>
  </property>
  <property fmtid="{D5CDD505-2E9C-101B-9397-08002B2CF9AE}" pid="28" name="lastDelim">
    <vt:lpwstr>, </vt:lpwstr>
  </property>
  <property fmtid="{D5CDD505-2E9C-101B-9397-08002B2CF9AE}" pid="29" name="linkReferences">
    <vt:lpwstr>False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otes-after-punctuation">
    <vt:lpwstr>False</vt:lpwstr>
  </property>
  <property fmtid="{D5CDD505-2E9C-101B-9397-08002B2CF9AE}" pid="41" name="numberSections">
    <vt:lpwstr>False</vt:lpwstr>
  </property>
  <property fmtid="{D5CDD505-2E9C-101B-9397-08002B2CF9AE}" pid="42" name="pairDelim">
    <vt:lpwstr>, </vt:lpwstr>
  </property>
  <property fmtid="{D5CDD505-2E9C-101B-9397-08002B2CF9AE}" pid="43" name="rangeDelim">
    <vt:lpwstr>-</vt:lpwstr>
  </property>
  <property fmtid="{D5CDD505-2E9C-101B-9397-08002B2CF9AE}" pid="44" name="refDelim">
    <vt:lpwstr>, </vt:lpwstr>
  </property>
  <property fmtid="{D5CDD505-2E9C-101B-9397-08002B2CF9AE}" pid="45" name="refIndexTemplate">
    <vt:lpwstr>isuf</vt:lpwstr>
  </property>
  <property fmtid="{D5CDD505-2E9C-101B-9397-08002B2CF9AE}" pid="46" name="secHeaderDelim">
    <vt:lpwstr> </vt:lpwstr>
  </property>
  <property fmtid="{D5CDD505-2E9C-101B-9397-08002B2CF9AE}" pid="47" name="secHeaderTemplate">
    <vt:lpwstr>isecHeaderDelim[n]t</vt:lpwstr>
  </property>
  <property fmtid="{D5CDD505-2E9C-101B-9397-08002B2CF9AE}" pid="48" name="secLabels">
    <vt:lpwstr>arabic</vt:lpwstr>
  </property>
  <property fmtid="{D5CDD505-2E9C-101B-9397-08002B2CF9AE}" pid="49" name="secPrefix">
    <vt:lpwstr/>
  </property>
  <property fmtid="{D5CDD505-2E9C-101B-9397-08002B2CF9AE}" pid="50" name="secPrefixTemplate">
    <vt:lpwstr>p i</vt:lpwstr>
  </property>
  <property fmtid="{D5CDD505-2E9C-101B-9397-08002B2CF9AE}" pid="51" name="sectionsDepth">
    <vt:lpwstr>0</vt:lpwstr>
  </property>
  <property fmtid="{D5CDD505-2E9C-101B-9397-08002B2CF9AE}" pid="52" name="subfigGrid">
    <vt:lpwstr>False</vt:lpwstr>
  </property>
  <property fmtid="{D5CDD505-2E9C-101B-9397-08002B2CF9AE}" pid="53" name="subfigLabels">
    <vt:lpwstr>alpha a</vt:lpwstr>
  </property>
  <property fmtid="{D5CDD505-2E9C-101B-9397-08002B2CF9AE}" pid="54" name="subfigureChildTemplate">
    <vt:lpwstr>i</vt:lpwstr>
  </property>
  <property fmtid="{D5CDD505-2E9C-101B-9397-08002B2CF9AE}" pid="55" name="subfigureRefIndexTemplate">
    <vt:lpwstr>isuf (s)</vt:lpwstr>
  </property>
  <property fmtid="{D5CDD505-2E9C-101B-9397-08002B2CF9AE}" pid="56" name="subfigureTemplate">
    <vt:lpwstr>figureTitle ititleDelim t. ccs</vt:lpwstr>
  </property>
  <property fmtid="{D5CDD505-2E9C-101B-9397-08002B2CF9AE}" pid="57" name="tableEqns">
    <vt:lpwstr>False</vt:lpwstr>
  </property>
  <property fmtid="{D5CDD505-2E9C-101B-9397-08002B2CF9AE}" pid="58" name="tableTemplate">
    <vt:lpwstr>tableTitle ititleDelim t</vt:lpwstr>
  </property>
  <property fmtid="{D5CDD505-2E9C-101B-9397-08002B2CF9AE}" pid="59" name="tableTitle">
    <vt:lpwstr>Table</vt:lpwstr>
  </property>
  <property fmtid="{D5CDD505-2E9C-101B-9397-08002B2CF9AE}" pid="60" name="tblLabels">
    <vt:lpwstr>arabic</vt:lpwstr>
  </property>
  <property fmtid="{D5CDD505-2E9C-101B-9397-08002B2CF9AE}" pid="61" name="tblPrefix">
    <vt:lpwstr/>
  </property>
  <property fmtid="{D5CDD505-2E9C-101B-9397-08002B2CF9AE}" pid="62" name="tblPrefixTemplate">
    <vt:lpwstr>p i</vt:lpwstr>
  </property>
  <property fmtid="{D5CDD505-2E9C-101B-9397-08002B2CF9AE}" pid="63" name="titleDelim">
    <vt:lpwstr>:</vt:lpwstr>
  </property>
</Properties>
</file>