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4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Machine Learning — Contribution Information Sheet</w:t>
      </w:r>
    </w:p>
    <w:p>
      <w:pPr>
        <w:spacing w:before="0" w:after="120" w:line="240" w:lineRule="auto"/>
        <w:ind w:firstLine="0"/>
      </w:pPr>
      <w:r>
        <w:rPr>
          <w:rFonts w:ascii="Times New Roman" w:hAnsi="Times New Roman" w:eastAsia="Times New Roman"/>
          <w:b/>
          <w:i w:val="0"/>
          <w:sz w:val="22"/>
        </w:rPr>
        <w:t>1. What is the main claim of the paper? Why is this an important contribution to the machine learning literature?</w:t>
      </w:r>
    </w:p>
    <w:p>
      <w:pPr>
        <w:spacing w:before="0" w:after="120" w:line="240" w:lineRule="auto"/>
        <w:ind w:firstLine="0"/>
      </w:pPr>
      <w:r>
        <w:rPr>
          <w:rFonts w:ascii="Times New Roman" w:hAnsi="Times New Roman" w:eastAsia="Times New Roman"/>
          <w:b/>
          <w:i w:val="0"/>
          <w:sz w:val="22"/>
        </w:rPr>
        <w:t>Main claim.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In a preregistered experiment, iterated self-revision of a written constitution did not selectively erode language models' commitments to human oversight. Erosion concentrated instead in stylistic self-restraints and was driven by reflection rather than by repeated editing. This runs against a long-standing argument that corrigibility is not reflectively stable.</w:t>
      </w:r>
    </w:p>
    <w:p>
      <w:pPr>
        <w:spacing w:before="0" w:after="120" w:line="240" w:lineRule="auto"/>
        <w:ind w:firstLine="0"/>
      </w:pPr>
      <w:r>
        <w:rPr>
          <w:rFonts w:ascii="Times New Roman" w:hAnsi="Times New Roman" w:eastAsia="Times New Roman"/>
          <w:b/>
          <w:i w:val="0"/>
          <w:sz w:val="22"/>
        </w:rPr>
        <w:t>Why it matters for machine learning.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Models are increasingly trained and deployed with procedures that let them critique and revise their own principles: constitutional training, self-refinement and self-evolving agents. To our knowledge, this is the first controlled, preregistered measurement of what such revision does to different kinds of stated commitments. It also provides a reusable method for making such measurements: iterated transmission used as a measurement instrument, matched item categories with control conditions, discrete-time survival analysis, and a two-judge reliability check.</w:t>
      </w:r>
    </w:p>
    <w:p>
      <w:pPr>
        <w:spacing w:before="0" w:after="120" w:line="240" w:lineRule="auto"/>
        <w:ind w:firstLine="0"/>
      </w:pPr>
      <w:r>
        <w:rPr>
          <w:rFonts w:ascii="Times New Roman" w:hAnsi="Times New Roman" w:eastAsia="Times New Roman"/>
          <w:b/>
          <w:i w:val="0"/>
          <w:sz w:val="22"/>
        </w:rPr>
        <w:t>2. What is the evidence you provide to support your claim?</w:t>
      </w:r>
    </w:p>
    <w:p>
      <w:pPr>
        <w:spacing w:before="0" w:after="120" w:line="240" w:lineRule="auto"/>
        <w:ind w:firstLine="0"/>
      </w:pPr>
      <w:r>
        <w:rPr>
          <w:rFonts w:ascii="Times New Roman" w:hAnsi="Times New Roman" w:eastAsia="Times New Roman"/>
          <w:b/>
          <w:i w:val="0"/>
          <w:sz w:val="22"/>
        </w:rPr>
        <w:t>Design.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7 open-weight model configurations × 4 conditions × 25 chains × 20 rounds (700 chains; 431,359 at-risk item-rounds; 2,342 erosion events), with paraphrase and neutral-edit control conditions and matched oversight and agentic items. Hypotheses, sample size and analysis code were preregistered and frozen, and the code was validated on simulated data before data collection. A second, independent LLM judge double-coded a stratified 25% sample (Krippendorff's α = 0.733).</w:t>
      </w:r>
    </w:p>
    <w:p>
      <w:pPr>
        <w:spacing w:before="0" w:after="120" w:line="240" w:lineRule="auto"/>
        <w:ind w:firstLine="0"/>
      </w:pPr>
      <w:r>
        <w:rPr>
          <w:rFonts w:ascii="Times New Roman" w:hAnsi="Times New Roman" w:eastAsia="Times New Roman"/>
          <w:b/>
          <w:i w:val="0"/>
          <w:sz w:val="22"/>
        </w:rPr>
        <w:t>Results.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The erosion hazard ratio for oversight vs. matched agentic items was 0.495 (95% CI 0.365–0.671). We report its fragility openly: models that include between-item variation give intervals that include 1, and the result depends on particular items. Stylistic items eroded at 43.5% under self-reflection, against 7.8% under neutral editing. Revising one's own constitution did not differ from revising another assistant's. Installing self-revised oversight clauses had no behavioural effect (COR-swap minus AGENT-swap 0.26, 95% CI −0.21 to 0.73), in a battery where positive controls lowered acceptance of legitimate oversight by up to 0.95.</w:t>
      </w:r>
    </w:p>
    <w:p>
      <w:pPr>
        <w:spacing w:before="0" w:after="120" w:line="240" w:lineRule="auto"/>
        <w:ind w:firstLine="0"/>
      </w:pPr>
      <w:r>
        <w:rPr>
          <w:rFonts w:ascii="Times New Roman" w:hAnsi="Times New Roman" w:eastAsia="Times New Roman"/>
          <w:b/>
          <w:i w:val="0"/>
          <w:sz w:val="22"/>
        </w:rPr>
        <w:t>3. What papers by other authors make the most closely related contributions, and how is your paper related to them?</w:t>
      </w:r>
    </w:p>
    <w:p>
      <w:pPr>
        <w:pStyle w:val="ListBullet"/>
        <w:spacing w:before="0" w:after="120" w:line="240" w:lineRule="auto"/>
        <w:ind w:firstLine="0"/>
      </w:pPr>
      <w:r>
        <w:rPr>
          <w:rFonts w:ascii="Times New Roman" w:hAnsi="Times New Roman" w:eastAsia="Times New Roman"/>
          <w:b/>
          <w:i w:val="0"/>
          <w:sz w:val="22"/>
        </w:rPr>
        <w:t>Soares et al. (2015)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state the theoretical argument that corrigibility is not reflectively stable; we test it empirically.</w:t>
      </w:r>
    </w:p>
    <w:p>
      <w:pPr>
        <w:pStyle w:val="ListBullet"/>
        <w:spacing w:before="0" w:after="120" w:line="240" w:lineRule="auto"/>
        <w:ind w:firstLine="0"/>
      </w:pPr>
      <w:r>
        <w:rPr>
          <w:rFonts w:ascii="Times New Roman" w:hAnsi="Times New Roman" w:eastAsia="Times New Roman"/>
          <w:b/>
          <w:i w:val="0"/>
          <w:sz w:val="22"/>
        </w:rPr>
        <w:t>Bai et al. (2022)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train models against human-written principles (Constitutional AI); we let models rewrite their own principles and measure what survives.</w:t>
      </w:r>
    </w:p>
    <w:p>
      <w:pPr>
        <w:pStyle w:val="ListBullet"/>
        <w:spacing w:before="0" w:after="120" w:line="240" w:lineRule="auto"/>
        <w:ind w:firstLine="0"/>
      </w:pPr>
      <w:r>
        <w:rPr>
          <w:rFonts w:ascii="Times New Roman" w:hAnsi="Times New Roman" w:eastAsia="Times New Roman"/>
          <w:b/>
          <w:i w:val="0"/>
          <w:sz w:val="22"/>
        </w:rPr>
        <w:t>S. Das et al. (2026)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and </w:t>
      </w:r>
      <w:r>
        <w:rPr>
          <w:rFonts w:ascii="Times New Roman" w:hAnsi="Times New Roman" w:eastAsia="Times New Roman"/>
          <w:b/>
          <w:i w:val="0"/>
          <w:sz w:val="22"/>
        </w:rPr>
        <w:t>Han et al. (2025)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show that safety constraints erode in self-evolving agents under task or reward pressure; we remove pressure, reward and memory to isolate unpressured reflection, and we test selectivity against matched categories.</w:t>
      </w:r>
    </w:p>
    <w:p>
      <w:pPr>
        <w:pStyle w:val="ListBullet"/>
        <w:spacing w:before="0" w:after="120" w:line="240" w:lineRule="auto"/>
        <w:ind w:firstLine="0"/>
      </w:pPr>
      <w:r>
        <w:rPr>
          <w:rFonts w:ascii="Times New Roman" w:hAnsi="Times New Roman" w:eastAsia="Times New Roman"/>
          <w:b/>
          <w:i w:val="0"/>
          <w:sz w:val="22"/>
        </w:rPr>
        <w:t>Greenblatt et al. (2024), Meinke et al. (2024)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and </w:t>
      </w:r>
      <w:r>
        <w:rPr>
          <w:rFonts w:ascii="Times New Roman" w:hAnsi="Times New Roman" w:eastAsia="Times New Roman"/>
          <w:b/>
          <w:i w:val="0"/>
          <w:sz w:val="22"/>
        </w:rPr>
        <w:t>Schlatter et al. (2025)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measure oversight-relevant behaviour under goal conflict; we study stated commitments under reflection and test whether changes to them carry over into behaviour.</w:t>
      </w:r>
    </w:p>
    <w:p>
      <w:pPr>
        <w:pStyle w:val="ListBullet"/>
        <w:spacing w:before="0" w:after="120" w:line="240" w:lineRule="auto"/>
        <w:ind w:firstLine="0"/>
      </w:pPr>
      <w:r>
        <w:rPr>
          <w:rFonts w:ascii="Times New Roman" w:hAnsi="Times New Roman" w:eastAsia="Times New Roman"/>
          <w:b/>
          <w:i w:val="0"/>
          <w:sz w:val="22"/>
        </w:rPr>
        <w:t>J. Perez et al. (2024)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and </w:t>
      </w:r>
      <w:r>
        <w:rPr>
          <w:rFonts w:ascii="Times New Roman" w:hAnsi="Times New Roman" w:eastAsia="Times New Roman"/>
          <w:b/>
          <w:i w:val="0"/>
          <w:sz w:val="22"/>
        </w:rPr>
        <w:t>Wu et al. (2026)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use iterated transmission and self-refinement to reveal model attractors; we use this effect as a measurement instrument for values.</w:t>
      </w:r>
    </w:p>
    <w:p>
      <w:pPr>
        <w:pStyle w:val="ListBullet"/>
        <w:spacing w:before="0" w:after="120" w:line="24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Two concurrent exploratory projects (</w:t>
      </w:r>
      <w:r>
        <w:rPr>
          <w:rFonts w:ascii="Times New Roman" w:hAnsi="Times New Roman" w:eastAsia="Times New Roman"/>
          <w:b/>
          <w:i w:val="0"/>
          <w:sz w:val="22"/>
        </w:rPr>
        <w:t>heyuday, 2026; Wu, 2026</w:t>
      </w:r>
      <w:r>
        <w:rPr>
          <w:rFonts w:ascii="Times New Roman" w:hAnsi="Times New Roman" w:eastAsia="Times New Roman"/>
          <w:b w:val="0"/>
          <w:i w:val="0"/>
          <w:sz w:val="22"/>
        </w:rPr>
        <w:t>) iterate constitution editing but include no control categories, no category-level analysis and no behavioural follow-up.</w:t>
      </w:r>
    </w:p>
    <w:p>
      <w:pPr>
        <w:spacing w:before="0" w:after="120" w:line="240" w:lineRule="auto"/>
        <w:ind w:firstLine="0"/>
      </w:pPr>
      <w:r>
        <w:rPr>
          <w:rFonts w:ascii="Times New Roman" w:hAnsi="Times New Roman" w:eastAsia="Times New Roman"/>
          <w:b/>
          <w:i w:val="0"/>
          <w:sz w:val="22"/>
        </w:rPr>
        <w:t>4. Have you published parts of this work elsewhere? If so, how does this paper differ?</w:t>
      </w:r>
    </w:p>
    <w:p>
      <w:pPr>
        <w:spacing w:before="0" w:after="120" w:line="24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2"/>
        </w:rPr>
        <w:t>No part of this work has been published, posted as a preprint, or submitted elsewhere.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sz w:val="22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