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12029A">
      <w:pPr>
        <w:pStyle w:val="36"/>
        <w:rPr>
          <w:color w:val="auto"/>
        </w:rPr>
      </w:pPr>
      <w:r>
        <w:rPr>
          <w:color w:val="auto"/>
        </w:rPr>
        <w:t>Secure Coding Review</w:t>
      </w:r>
    </w:p>
    <w:p w14:paraId="2688F3A0">
      <w:pPr>
        <w:rPr>
          <w:color w:val="auto"/>
        </w:rPr>
      </w:pPr>
      <w:r>
        <w:rPr>
          <w:color w:val="auto"/>
        </w:rPr>
        <w:t>CodeAlpha Cybersecurity Task 3</w:t>
      </w:r>
    </w:p>
    <w:p w14:paraId="19BD8427">
      <w:pPr>
        <w:pStyle w:val="2"/>
        <w:rPr>
          <w:color w:val="auto"/>
        </w:rPr>
      </w:pPr>
      <w:r>
        <w:rPr>
          <w:color w:val="auto"/>
        </w:rPr>
        <w:t>1. Scope and methodology</w:t>
      </w:r>
    </w:p>
    <w:p w14:paraId="1D41AE04">
      <w:pPr>
        <w:jc w:val="both"/>
        <w:rPr>
          <w:color w:val="auto"/>
        </w:rPr>
      </w:pPr>
      <w:r>
        <w:rPr>
          <w:color w:val="auto"/>
        </w:rPr>
        <w:t>This review examines a small training Flask application containing a home page, login endpoint, session handling, and profile page. The vulnerable version is intentionally insecure and must not be deployed. Manual inspection was used to identify unsafe input handling, authentication weaknesses, secret management issues, and risky runtime settings. Bandit static analysis is provided as an optional step; this report does not claim that it has been executed.</w:t>
      </w:r>
    </w:p>
    <w:p w14:paraId="3170439D">
      <w:pPr>
        <w:pStyle w:val="2"/>
        <w:rPr>
          <w:color w:val="auto"/>
        </w:rPr>
      </w:pPr>
      <w:r>
        <w:rPr>
          <w:color w:val="auto"/>
        </w:rPr>
        <w:t>2. Executive summary</w:t>
      </w:r>
    </w:p>
    <w:p w14:paraId="32EA286C">
      <w:pPr>
        <w:jc w:val="both"/>
        <w:rPr>
          <w:color w:val="auto"/>
        </w:rPr>
      </w:pPr>
      <w:r>
        <w:rPr>
          <w:color w:val="auto"/>
        </w:rPr>
        <w:t>The sample contains high-impact weaknesses including SQL injection, unsafe HTML rendering, a hard-coded session secret, and debug mode enabled. It also demonstrates unsafe password handling, missing CSRF protection, and insufficient input validation. Prioritize parameterized SQL, password hashing, safe output rendering, secret management, and secure deployment configuration.</w:t>
      </w:r>
    </w:p>
    <w:p w14:paraId="4B61455C">
      <w:pPr>
        <w:pStyle w:val="2"/>
        <w:rPr>
          <w:color w:val="auto"/>
        </w:rPr>
      </w:pPr>
      <w:r>
        <w:rPr>
          <w:color w:val="auto"/>
        </w:rPr>
        <w:t>3. Findings</w:t>
      </w:r>
    </w:p>
    <w:p w14:paraId="4E200DB8">
      <w:pPr>
        <w:pStyle w:val="3"/>
        <w:rPr>
          <w:color w:val="auto"/>
        </w:rPr>
      </w:pPr>
      <w:r>
        <w:rPr>
          <w:color w:val="auto"/>
        </w:rPr>
        <w:t>F-01 — SQL injection (High)</w:t>
      </w:r>
    </w:p>
    <w:p w14:paraId="14BB5838">
      <w:pPr>
        <w:rPr>
          <w:color w:val="auto"/>
        </w:rPr>
      </w:pPr>
      <w:r>
        <w:rPr>
          <w:b/>
          <w:color w:val="auto"/>
        </w:rPr>
        <w:t xml:space="preserve">Observation: </w:t>
      </w:r>
      <w:r>
        <w:rPr>
          <w:color w:val="auto"/>
        </w:rPr>
        <w:t>Login query concatenates username/password into SQL.</w:t>
      </w:r>
    </w:p>
    <w:p w14:paraId="046A4811">
      <w:pPr>
        <w:rPr>
          <w:color w:val="auto"/>
        </w:rPr>
      </w:pPr>
      <w:r>
        <w:rPr>
          <w:b/>
          <w:color w:val="auto"/>
        </w:rPr>
        <w:t xml:space="preserve">Potential impact: </w:t>
      </w:r>
      <w:r>
        <w:rPr>
          <w:color w:val="auto"/>
        </w:rPr>
        <w:t>An attacker may alter query logic or bypass authentication.</w:t>
      </w:r>
    </w:p>
    <w:p w14:paraId="2553EA1C">
      <w:pPr>
        <w:rPr>
          <w:color w:val="auto"/>
        </w:rPr>
      </w:pPr>
      <w:r>
        <w:rPr>
          <w:b/>
          <w:color w:val="auto"/>
        </w:rPr>
        <w:t xml:space="preserve">Recommendation: </w:t>
      </w:r>
      <w:r>
        <w:rPr>
          <w:color w:val="auto"/>
        </w:rPr>
        <w:t>Use parameterized SQL, fetch by username, then verify a password hash. Apply least-privilege database permissions.</w:t>
      </w:r>
    </w:p>
    <w:p w14:paraId="5C7F1D6C">
      <w:pPr>
        <w:pStyle w:val="3"/>
        <w:rPr>
          <w:color w:val="auto"/>
        </w:rPr>
      </w:pPr>
      <w:r>
        <w:rPr>
          <w:color w:val="auto"/>
        </w:rPr>
        <w:t>F-02 — Cross-site scripting (XSS) (High)</w:t>
      </w:r>
    </w:p>
    <w:p w14:paraId="76D80E88">
      <w:pPr>
        <w:rPr>
          <w:color w:val="auto"/>
        </w:rPr>
      </w:pPr>
      <w:r>
        <w:rPr>
          <w:b/>
          <w:color w:val="auto"/>
        </w:rPr>
        <w:t xml:space="preserve">Observation: </w:t>
      </w:r>
      <w:r>
        <w:rPr>
          <w:color w:val="auto"/>
        </w:rPr>
        <w:t>Home page inserts a request parameter into an HTML string without escaping.</w:t>
      </w:r>
    </w:p>
    <w:p w14:paraId="56598945">
      <w:pPr>
        <w:rPr>
          <w:color w:val="auto"/>
        </w:rPr>
      </w:pPr>
      <w:r>
        <w:rPr>
          <w:b/>
          <w:color w:val="auto"/>
        </w:rPr>
        <w:t xml:space="preserve">Potential impact: </w:t>
      </w:r>
      <w:r>
        <w:rPr>
          <w:color w:val="auto"/>
        </w:rPr>
        <w:t>Injected markup/script may execute in a visitor's browser.</w:t>
      </w:r>
    </w:p>
    <w:p w14:paraId="74B43E8F">
      <w:pPr>
        <w:rPr>
          <w:color w:val="auto"/>
        </w:rPr>
      </w:pPr>
      <w:r>
        <w:rPr>
          <w:b/>
          <w:color w:val="auto"/>
        </w:rPr>
        <w:t xml:space="preserve">Recommendation: </w:t>
      </w:r>
      <w:r>
        <w:rPr>
          <w:color w:val="auto"/>
        </w:rPr>
        <w:t>Use template variables with auto-escaping; avoid raw HTML interpolation.</w:t>
      </w:r>
    </w:p>
    <w:p w14:paraId="3B55DF3D">
      <w:pPr>
        <w:pStyle w:val="3"/>
        <w:rPr>
          <w:color w:val="auto"/>
        </w:rPr>
      </w:pPr>
      <w:r>
        <w:rPr>
          <w:color w:val="auto"/>
        </w:rPr>
        <w:t>F-03 — Hard-coded weak session secret (High)</w:t>
      </w:r>
    </w:p>
    <w:p w14:paraId="4736DF5C">
      <w:pPr>
        <w:rPr>
          <w:color w:val="auto"/>
        </w:rPr>
      </w:pPr>
      <w:r>
        <w:rPr>
          <w:b/>
          <w:color w:val="auto"/>
        </w:rPr>
        <w:t xml:space="preserve">Observation: </w:t>
      </w:r>
      <w:r>
        <w:rPr>
          <w:color w:val="auto"/>
        </w:rPr>
        <w:t>The secret is set to the literal value "secret123".</w:t>
      </w:r>
    </w:p>
    <w:p w14:paraId="69CC3545">
      <w:pPr>
        <w:rPr>
          <w:color w:val="auto"/>
        </w:rPr>
      </w:pPr>
      <w:r>
        <w:rPr>
          <w:b/>
          <w:color w:val="auto"/>
        </w:rPr>
        <w:t xml:space="preserve">Potential impact: </w:t>
      </w:r>
      <w:r>
        <w:rPr>
          <w:color w:val="auto"/>
        </w:rPr>
        <w:t>A known signing secret may permit session forgery or tampering.</w:t>
      </w:r>
    </w:p>
    <w:p w14:paraId="3FE7595E">
      <w:pPr>
        <w:rPr>
          <w:color w:val="auto"/>
        </w:rPr>
      </w:pPr>
      <w:r>
        <w:rPr>
          <w:b/>
          <w:color w:val="auto"/>
        </w:rPr>
        <w:t xml:space="preserve">Recommendation: </w:t>
      </w:r>
      <w:r>
        <w:rPr>
          <w:color w:val="auto"/>
        </w:rPr>
        <w:t>Use a cryptographically random secret from secure configuration; rotate exposed secrets.</w:t>
      </w:r>
    </w:p>
    <w:p w14:paraId="204F518E">
      <w:pPr>
        <w:pStyle w:val="3"/>
        <w:rPr>
          <w:color w:val="auto"/>
        </w:rPr>
      </w:pPr>
      <w:r>
        <w:rPr>
          <w:color w:val="auto"/>
        </w:rPr>
        <w:t>F-04 — Debug mode enabled (High)</w:t>
      </w:r>
    </w:p>
    <w:p w14:paraId="153F7B0C">
      <w:pPr>
        <w:rPr>
          <w:color w:val="auto"/>
        </w:rPr>
      </w:pPr>
      <w:r>
        <w:rPr>
          <w:b/>
          <w:color w:val="auto"/>
        </w:rPr>
        <w:t xml:space="preserve">Observation: </w:t>
      </w:r>
      <w:r>
        <w:rPr>
          <w:color w:val="auto"/>
        </w:rPr>
        <w:t>The development server runs with debug=True.</w:t>
      </w:r>
    </w:p>
    <w:p w14:paraId="42415549">
      <w:pPr>
        <w:rPr>
          <w:color w:val="auto"/>
        </w:rPr>
      </w:pPr>
      <w:r>
        <w:rPr>
          <w:b/>
          <w:color w:val="auto"/>
        </w:rPr>
        <w:t xml:space="preserve">Potential impact: </w:t>
      </w:r>
      <w:r>
        <w:rPr>
          <w:color w:val="auto"/>
        </w:rPr>
        <w:t>Debug details may disclose internals; an exposed debugger can cause severe compromise.</w:t>
      </w:r>
    </w:p>
    <w:p w14:paraId="387E5FD6">
      <w:pPr>
        <w:rPr>
          <w:color w:val="auto"/>
        </w:rPr>
      </w:pPr>
      <w:r>
        <w:rPr>
          <w:b/>
          <w:color w:val="auto"/>
        </w:rPr>
        <w:t xml:space="preserve">Recommendation: </w:t>
      </w:r>
      <w:r>
        <w:rPr>
          <w:color w:val="auto"/>
        </w:rPr>
        <w:t>Disable debug mode outside local development; deploy with a production WSGI server.</w:t>
      </w:r>
    </w:p>
    <w:p w14:paraId="3E5194A3">
      <w:pPr>
        <w:pStyle w:val="3"/>
        <w:rPr>
          <w:color w:val="auto"/>
        </w:rPr>
      </w:pPr>
      <w:r>
        <w:rPr>
          <w:color w:val="auto"/>
        </w:rPr>
        <w:t>F-05 — Unsafe password handling pattern (High)</w:t>
      </w:r>
    </w:p>
    <w:p w14:paraId="75EC316F">
      <w:pPr>
        <w:rPr>
          <w:color w:val="auto"/>
        </w:rPr>
      </w:pPr>
      <w:r>
        <w:rPr>
          <w:b/>
          <w:color w:val="auto"/>
        </w:rPr>
        <w:t xml:space="preserve">Observation: </w:t>
      </w:r>
      <w:r>
        <w:rPr>
          <w:color w:val="auto"/>
        </w:rPr>
        <w:t>The vulnerable sample compares a submitted password to a database password field.</w:t>
      </w:r>
    </w:p>
    <w:p w14:paraId="65E11D81">
      <w:pPr>
        <w:rPr>
          <w:color w:val="auto"/>
        </w:rPr>
      </w:pPr>
      <w:r>
        <w:rPr>
          <w:b/>
          <w:color w:val="auto"/>
        </w:rPr>
        <w:t xml:space="preserve">Potential impact: </w:t>
      </w:r>
      <w:r>
        <w:rPr>
          <w:color w:val="auto"/>
        </w:rPr>
        <w:t>Plaintext password storage exposes credentials if the database is compromised.</w:t>
      </w:r>
    </w:p>
    <w:p w14:paraId="3E70BA59">
      <w:pPr>
        <w:rPr>
          <w:color w:val="auto"/>
        </w:rPr>
      </w:pPr>
      <w:r>
        <w:rPr>
          <w:b/>
          <w:color w:val="auto"/>
        </w:rPr>
        <w:t xml:space="preserve">Recommendation: </w:t>
      </w:r>
      <w:r>
        <w:rPr>
          <w:color w:val="auto"/>
        </w:rPr>
        <w:t>Store salted password hashes using Argon2id, scrypt, or vetted framework utilities.</w:t>
      </w:r>
    </w:p>
    <w:p w14:paraId="586DB6DB">
      <w:pPr>
        <w:pStyle w:val="3"/>
        <w:rPr>
          <w:color w:val="auto"/>
        </w:rPr>
      </w:pPr>
      <w:r>
        <w:rPr>
          <w:color w:val="auto"/>
        </w:rPr>
        <w:t>F-06 — Missing CSRF protection (Medium)</w:t>
      </w:r>
    </w:p>
    <w:p w14:paraId="2F13A4BC">
      <w:pPr>
        <w:rPr>
          <w:color w:val="auto"/>
        </w:rPr>
      </w:pPr>
      <w:r>
        <w:rPr>
          <w:b/>
          <w:color w:val="auto"/>
        </w:rPr>
        <w:t xml:space="preserve">Observation: </w:t>
      </w:r>
      <w:r>
        <w:rPr>
          <w:color w:val="auto"/>
        </w:rPr>
        <w:t>The login form has no CSRF token.</w:t>
      </w:r>
    </w:p>
    <w:p w14:paraId="3AEBB10B">
      <w:pPr>
        <w:rPr>
          <w:color w:val="auto"/>
        </w:rPr>
      </w:pPr>
      <w:r>
        <w:rPr>
          <w:b/>
          <w:color w:val="auto"/>
        </w:rPr>
        <w:t xml:space="preserve">Potential impact: </w:t>
      </w:r>
      <w:r>
        <w:rPr>
          <w:color w:val="auto"/>
        </w:rPr>
        <w:t>A browser may be induced to submit an unwanted request; risk depends on application behavior.</w:t>
      </w:r>
    </w:p>
    <w:p w14:paraId="5FF28312">
      <w:pPr>
        <w:rPr>
          <w:color w:val="auto"/>
        </w:rPr>
      </w:pPr>
      <w:r>
        <w:rPr>
          <w:b/>
          <w:color w:val="auto"/>
        </w:rPr>
        <w:t xml:space="preserve">Recommendation: </w:t>
      </w:r>
      <w:r>
        <w:rPr>
          <w:color w:val="auto"/>
        </w:rPr>
        <w:t xml:space="preserve">Use framework-supported CSRF tokens; </w:t>
      </w:r>
      <w:r>
        <w:rPr>
          <w:rFonts w:hint="default"/>
          <w:color w:val="auto"/>
          <w:lang w:val="en-US"/>
        </w:rPr>
        <w:t xml:space="preserve"> </w:t>
      </w:r>
      <w:r>
        <w:rPr>
          <w:color w:val="auto"/>
        </w:rPr>
        <w:t>Same</w:t>
      </w:r>
      <w:r>
        <w:rPr>
          <w:rFonts w:hint="default"/>
          <w:color w:val="auto"/>
          <w:lang w:val="en-US"/>
        </w:rPr>
        <w:t xml:space="preserve"> </w:t>
      </w:r>
      <w:r>
        <w:rPr>
          <w:color w:val="auto"/>
        </w:rPr>
        <w:t>Site cookies are defense in depth, not a full substitute.</w:t>
      </w:r>
    </w:p>
    <w:p w14:paraId="6ABE1DA0">
      <w:pPr>
        <w:pStyle w:val="3"/>
        <w:rPr>
          <w:color w:val="auto"/>
        </w:rPr>
      </w:pPr>
      <w:r>
        <w:rPr>
          <w:color w:val="auto"/>
        </w:rPr>
        <w:t>F-07 — Insufficient input validation (Medium)</w:t>
      </w:r>
    </w:p>
    <w:p w14:paraId="198F6A10">
      <w:pPr>
        <w:rPr>
          <w:color w:val="auto"/>
        </w:rPr>
      </w:pPr>
      <w:r>
        <w:rPr>
          <w:b/>
          <w:color w:val="auto"/>
        </w:rPr>
        <w:t xml:space="preserve">Observation: </w:t>
      </w:r>
      <w:r>
        <w:rPr>
          <w:color w:val="auto"/>
        </w:rPr>
        <w:t>Inputs have no length or format constraints.</w:t>
      </w:r>
    </w:p>
    <w:p w14:paraId="6BEA1C53">
      <w:pPr>
        <w:rPr>
          <w:color w:val="auto"/>
        </w:rPr>
      </w:pPr>
      <w:r>
        <w:rPr>
          <w:b/>
          <w:color w:val="auto"/>
        </w:rPr>
        <w:t xml:space="preserve">Potential impact: </w:t>
      </w:r>
      <w:r>
        <w:rPr>
          <w:color w:val="auto"/>
        </w:rPr>
        <w:t>Unexpected or oversiz</w:t>
      </w:r>
      <w:bookmarkStart w:id="0" w:name="_GoBack"/>
      <w:bookmarkEnd w:id="0"/>
      <w:r>
        <w:rPr>
          <w:color w:val="auto"/>
        </w:rPr>
        <w:t>ed inputs may cause errors or resource consumption.</w:t>
      </w:r>
    </w:p>
    <w:p w14:paraId="0495EF9A">
      <w:pPr>
        <w:rPr>
          <w:color w:val="auto"/>
        </w:rPr>
      </w:pPr>
      <w:r>
        <w:rPr>
          <w:b/>
          <w:color w:val="auto"/>
        </w:rPr>
        <w:t xml:space="preserve">Recommendation: </w:t>
      </w:r>
      <w:r>
        <w:rPr>
          <w:color w:val="auto"/>
        </w:rPr>
        <w:t>Validate input server-side and set appropriate request/body limits.</w:t>
      </w:r>
    </w:p>
    <w:p w14:paraId="795C69FE">
      <w:pPr>
        <w:pStyle w:val="2"/>
        <w:rPr>
          <w:color w:val="auto"/>
        </w:rPr>
      </w:pPr>
      <w:r>
        <w:rPr>
          <w:color w:val="auto"/>
        </w:rPr>
        <w:t>4. Remediation plan</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0"/>
        <w:gridCol w:w="2160"/>
        <w:gridCol w:w="2160"/>
        <w:gridCol w:w="2160"/>
      </w:tblGrid>
      <w:tr w14:paraId="0E8F7F67">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Pr>
          <w:p w14:paraId="0F717E6A">
            <w:pPr>
              <w:spacing w:after="0" w:line="240" w:lineRule="auto"/>
              <w:rPr>
                <w:color w:val="auto"/>
              </w:rPr>
            </w:pPr>
            <w:r>
              <w:rPr>
                <w:color w:val="auto"/>
              </w:rPr>
              <w:t>Priority</w:t>
            </w:r>
          </w:p>
        </w:tc>
        <w:tc>
          <w:tcPr>
            <w:tcW w:w="2160" w:type="dxa"/>
          </w:tcPr>
          <w:p w14:paraId="00E7D8EC">
            <w:pPr>
              <w:spacing w:after="0" w:line="240" w:lineRule="auto"/>
              <w:rPr>
                <w:color w:val="auto"/>
              </w:rPr>
            </w:pPr>
            <w:r>
              <w:rPr>
                <w:color w:val="auto"/>
              </w:rPr>
              <w:t>Action</w:t>
            </w:r>
          </w:p>
        </w:tc>
        <w:tc>
          <w:tcPr>
            <w:tcW w:w="2160" w:type="dxa"/>
          </w:tcPr>
          <w:p w14:paraId="2F3BC5AC">
            <w:pPr>
              <w:spacing w:after="0" w:line="240" w:lineRule="auto"/>
              <w:rPr>
                <w:color w:val="auto"/>
              </w:rPr>
            </w:pPr>
            <w:r>
              <w:rPr>
                <w:color w:val="auto"/>
              </w:rPr>
              <w:t>Owner</w:t>
            </w:r>
          </w:p>
        </w:tc>
        <w:tc>
          <w:tcPr>
            <w:tcW w:w="2160" w:type="dxa"/>
          </w:tcPr>
          <w:p w14:paraId="36D1993E">
            <w:pPr>
              <w:spacing w:after="0" w:line="240" w:lineRule="auto"/>
              <w:rPr>
                <w:color w:val="auto"/>
              </w:rPr>
            </w:pPr>
            <w:r>
              <w:rPr>
                <w:color w:val="auto"/>
              </w:rPr>
              <w:t>Verification</w:t>
            </w:r>
          </w:p>
        </w:tc>
      </w:tr>
      <w:tr w14:paraId="1B8F36E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Pr>
          <w:p w14:paraId="2CFF238A">
            <w:pPr>
              <w:spacing w:after="0" w:line="240" w:lineRule="auto"/>
              <w:rPr>
                <w:color w:val="auto"/>
              </w:rPr>
            </w:pPr>
            <w:r>
              <w:rPr>
                <w:color w:val="auto"/>
              </w:rPr>
              <w:t>P1</w:t>
            </w:r>
          </w:p>
        </w:tc>
        <w:tc>
          <w:tcPr>
            <w:tcW w:w="2160" w:type="dxa"/>
          </w:tcPr>
          <w:p w14:paraId="3C3434CF">
            <w:pPr>
              <w:spacing w:after="0" w:line="240" w:lineRule="auto"/>
              <w:rPr>
                <w:color w:val="auto"/>
              </w:rPr>
            </w:pPr>
            <w:r>
              <w:rPr>
                <w:color w:val="auto"/>
              </w:rPr>
              <w:t>Use parameterized SQL and password hashes</w:t>
            </w:r>
          </w:p>
        </w:tc>
        <w:tc>
          <w:tcPr>
            <w:tcW w:w="2160" w:type="dxa"/>
          </w:tcPr>
          <w:p w14:paraId="2FC7D101">
            <w:pPr>
              <w:spacing w:after="0" w:line="240" w:lineRule="auto"/>
              <w:rPr>
                <w:color w:val="auto"/>
              </w:rPr>
            </w:pPr>
            <w:r>
              <w:rPr>
                <w:color w:val="auto"/>
              </w:rPr>
              <w:t>Developer</w:t>
            </w:r>
          </w:p>
        </w:tc>
        <w:tc>
          <w:tcPr>
            <w:tcW w:w="2160" w:type="dxa"/>
          </w:tcPr>
          <w:p w14:paraId="2CF2D31F">
            <w:pPr>
              <w:spacing w:after="0" w:line="240" w:lineRule="auto"/>
              <w:rPr>
                <w:color w:val="auto"/>
              </w:rPr>
            </w:pPr>
            <w:r>
              <w:rPr>
                <w:color w:val="auto"/>
              </w:rPr>
              <w:t>Code review and authentication unit tests</w:t>
            </w:r>
          </w:p>
        </w:tc>
      </w:tr>
      <w:tr w14:paraId="4C796B5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Pr>
          <w:p w14:paraId="154F4199">
            <w:pPr>
              <w:spacing w:after="0" w:line="240" w:lineRule="auto"/>
              <w:rPr>
                <w:color w:val="auto"/>
              </w:rPr>
            </w:pPr>
            <w:r>
              <w:rPr>
                <w:color w:val="auto"/>
              </w:rPr>
              <w:t>P1</w:t>
            </w:r>
          </w:p>
        </w:tc>
        <w:tc>
          <w:tcPr>
            <w:tcW w:w="2160" w:type="dxa"/>
          </w:tcPr>
          <w:p w14:paraId="1F7C5E32">
            <w:pPr>
              <w:spacing w:after="0" w:line="240" w:lineRule="auto"/>
              <w:rPr>
                <w:color w:val="auto"/>
              </w:rPr>
            </w:pPr>
            <w:r>
              <w:rPr>
                <w:color w:val="auto"/>
              </w:rPr>
              <w:t>Remove hard-coded secret; disable debug mode</w:t>
            </w:r>
          </w:p>
        </w:tc>
        <w:tc>
          <w:tcPr>
            <w:tcW w:w="2160" w:type="dxa"/>
          </w:tcPr>
          <w:p w14:paraId="2EB506D9">
            <w:pPr>
              <w:spacing w:after="0" w:line="240" w:lineRule="auto"/>
              <w:rPr>
                <w:color w:val="auto"/>
              </w:rPr>
            </w:pPr>
            <w:r>
              <w:rPr>
                <w:color w:val="auto"/>
              </w:rPr>
              <w:t>Developer/DevOps</w:t>
            </w:r>
          </w:p>
        </w:tc>
        <w:tc>
          <w:tcPr>
            <w:tcW w:w="2160" w:type="dxa"/>
          </w:tcPr>
          <w:p w14:paraId="0BACE7B4">
            <w:pPr>
              <w:spacing w:after="0" w:line="240" w:lineRule="auto"/>
              <w:rPr>
                <w:color w:val="auto"/>
              </w:rPr>
            </w:pPr>
            <w:r>
              <w:rPr>
                <w:color w:val="auto"/>
              </w:rPr>
              <w:t>Configuration and deployment review</w:t>
            </w:r>
          </w:p>
        </w:tc>
      </w:tr>
      <w:tr w14:paraId="16FB67E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Pr>
          <w:p w14:paraId="040EBE3C">
            <w:pPr>
              <w:spacing w:after="0" w:line="240" w:lineRule="auto"/>
              <w:rPr>
                <w:color w:val="auto"/>
              </w:rPr>
            </w:pPr>
            <w:r>
              <w:rPr>
                <w:color w:val="auto"/>
              </w:rPr>
              <w:t>P1</w:t>
            </w:r>
          </w:p>
        </w:tc>
        <w:tc>
          <w:tcPr>
            <w:tcW w:w="2160" w:type="dxa"/>
          </w:tcPr>
          <w:p w14:paraId="75CAC574">
            <w:pPr>
              <w:spacing w:after="0" w:line="240" w:lineRule="auto"/>
              <w:rPr>
                <w:color w:val="auto"/>
              </w:rPr>
            </w:pPr>
            <w:r>
              <w:rPr>
                <w:color w:val="auto"/>
              </w:rPr>
              <w:t>Escape untrusted output using templates</w:t>
            </w:r>
          </w:p>
        </w:tc>
        <w:tc>
          <w:tcPr>
            <w:tcW w:w="2160" w:type="dxa"/>
          </w:tcPr>
          <w:p w14:paraId="681BC863">
            <w:pPr>
              <w:spacing w:after="0" w:line="240" w:lineRule="auto"/>
              <w:rPr>
                <w:color w:val="auto"/>
              </w:rPr>
            </w:pPr>
            <w:r>
              <w:rPr>
                <w:color w:val="auto"/>
              </w:rPr>
              <w:t>Developer</w:t>
            </w:r>
          </w:p>
        </w:tc>
        <w:tc>
          <w:tcPr>
            <w:tcW w:w="2160" w:type="dxa"/>
          </w:tcPr>
          <w:p w14:paraId="64A94F78">
            <w:pPr>
              <w:spacing w:after="0" w:line="240" w:lineRule="auto"/>
              <w:rPr>
                <w:color w:val="auto"/>
              </w:rPr>
            </w:pPr>
            <w:r>
              <w:rPr>
                <w:color w:val="auto"/>
              </w:rPr>
              <w:t>Review templates and test rendered output</w:t>
            </w:r>
          </w:p>
        </w:tc>
      </w:tr>
      <w:tr w14:paraId="072D176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Pr>
          <w:p w14:paraId="5A1362FB">
            <w:pPr>
              <w:spacing w:after="0" w:line="240" w:lineRule="auto"/>
              <w:rPr>
                <w:color w:val="auto"/>
              </w:rPr>
            </w:pPr>
            <w:r>
              <w:rPr>
                <w:color w:val="auto"/>
              </w:rPr>
              <w:t>P2</w:t>
            </w:r>
          </w:p>
        </w:tc>
        <w:tc>
          <w:tcPr>
            <w:tcW w:w="2160" w:type="dxa"/>
          </w:tcPr>
          <w:p w14:paraId="17E85914">
            <w:pPr>
              <w:spacing w:after="0" w:line="240" w:lineRule="auto"/>
              <w:rPr>
                <w:color w:val="auto"/>
              </w:rPr>
            </w:pPr>
            <w:r>
              <w:rPr>
                <w:color w:val="auto"/>
              </w:rPr>
              <w:t>Implement CSRF protection and secure cookies</w:t>
            </w:r>
          </w:p>
        </w:tc>
        <w:tc>
          <w:tcPr>
            <w:tcW w:w="2160" w:type="dxa"/>
          </w:tcPr>
          <w:p w14:paraId="14EB41FF">
            <w:pPr>
              <w:spacing w:after="0" w:line="240" w:lineRule="auto"/>
              <w:rPr>
                <w:color w:val="auto"/>
              </w:rPr>
            </w:pPr>
            <w:r>
              <w:rPr>
                <w:color w:val="auto"/>
              </w:rPr>
              <w:t>Developer</w:t>
            </w:r>
          </w:p>
        </w:tc>
        <w:tc>
          <w:tcPr>
            <w:tcW w:w="2160" w:type="dxa"/>
          </w:tcPr>
          <w:p w14:paraId="18198150">
            <w:pPr>
              <w:spacing w:after="0" w:line="240" w:lineRule="auto"/>
              <w:rPr>
                <w:color w:val="auto"/>
              </w:rPr>
            </w:pPr>
            <w:r>
              <w:rPr>
                <w:color w:val="auto"/>
              </w:rPr>
              <w:t>CSRF negative test and cookie inspection</w:t>
            </w:r>
          </w:p>
        </w:tc>
      </w:tr>
      <w:tr w14:paraId="106D221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Pr>
          <w:p w14:paraId="2F2FE14F">
            <w:pPr>
              <w:spacing w:after="0" w:line="240" w:lineRule="auto"/>
              <w:rPr>
                <w:color w:val="auto"/>
              </w:rPr>
            </w:pPr>
            <w:r>
              <w:rPr>
                <w:color w:val="auto"/>
              </w:rPr>
              <w:t>P2</w:t>
            </w:r>
          </w:p>
        </w:tc>
        <w:tc>
          <w:tcPr>
            <w:tcW w:w="2160" w:type="dxa"/>
          </w:tcPr>
          <w:p w14:paraId="4F71CE4F">
            <w:pPr>
              <w:spacing w:after="0" w:line="240" w:lineRule="auto"/>
              <w:rPr>
                <w:color w:val="auto"/>
              </w:rPr>
            </w:pPr>
            <w:r>
              <w:rPr>
                <w:color w:val="auto"/>
              </w:rPr>
              <w:t>Add server-side validation and request limits</w:t>
            </w:r>
          </w:p>
        </w:tc>
        <w:tc>
          <w:tcPr>
            <w:tcW w:w="2160" w:type="dxa"/>
          </w:tcPr>
          <w:p w14:paraId="527DFD9A">
            <w:pPr>
              <w:spacing w:after="0" w:line="240" w:lineRule="auto"/>
              <w:rPr>
                <w:color w:val="auto"/>
              </w:rPr>
            </w:pPr>
            <w:r>
              <w:rPr>
                <w:color w:val="auto"/>
              </w:rPr>
              <w:t>Developer</w:t>
            </w:r>
          </w:p>
        </w:tc>
        <w:tc>
          <w:tcPr>
            <w:tcW w:w="2160" w:type="dxa"/>
          </w:tcPr>
          <w:p w14:paraId="548454B6">
            <w:pPr>
              <w:spacing w:after="0" w:line="240" w:lineRule="auto"/>
              <w:rPr>
                <w:color w:val="auto"/>
              </w:rPr>
            </w:pPr>
            <w:r>
              <w:rPr>
                <w:color w:val="auto"/>
              </w:rPr>
              <w:t>Boundary and invalid-input tests</w:t>
            </w:r>
          </w:p>
        </w:tc>
      </w:tr>
      <w:tr w14:paraId="246A508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Pr>
          <w:p w14:paraId="5784741F">
            <w:pPr>
              <w:spacing w:after="0" w:line="240" w:lineRule="auto"/>
              <w:rPr>
                <w:color w:val="auto"/>
              </w:rPr>
            </w:pPr>
            <w:r>
              <w:rPr>
                <w:color w:val="auto"/>
              </w:rPr>
              <w:t>P3</w:t>
            </w:r>
          </w:p>
        </w:tc>
        <w:tc>
          <w:tcPr>
            <w:tcW w:w="2160" w:type="dxa"/>
          </w:tcPr>
          <w:p w14:paraId="3CB9A727">
            <w:pPr>
              <w:spacing w:after="0" w:line="240" w:lineRule="auto"/>
              <w:rPr>
                <w:color w:val="auto"/>
              </w:rPr>
            </w:pPr>
            <w:r>
              <w:rPr>
                <w:color w:val="auto"/>
              </w:rPr>
              <w:t>Add static analysis, dependency scans, and regression tests to CI</w:t>
            </w:r>
          </w:p>
        </w:tc>
        <w:tc>
          <w:tcPr>
            <w:tcW w:w="2160" w:type="dxa"/>
          </w:tcPr>
          <w:p w14:paraId="683121B2">
            <w:pPr>
              <w:spacing w:after="0" w:line="240" w:lineRule="auto"/>
              <w:rPr>
                <w:color w:val="auto"/>
              </w:rPr>
            </w:pPr>
            <w:r>
              <w:rPr>
                <w:color w:val="auto"/>
              </w:rPr>
              <w:t>Security/DevOps</w:t>
            </w:r>
          </w:p>
        </w:tc>
        <w:tc>
          <w:tcPr>
            <w:tcW w:w="2160" w:type="dxa"/>
          </w:tcPr>
          <w:p w14:paraId="3DF019C3">
            <w:pPr>
              <w:spacing w:after="0" w:line="240" w:lineRule="auto"/>
              <w:rPr>
                <w:color w:val="auto"/>
              </w:rPr>
            </w:pPr>
            <w:r>
              <w:rPr>
                <w:color w:val="auto"/>
              </w:rPr>
              <w:t>Retain scan output and resolve confirmed findings</w:t>
            </w:r>
          </w:p>
        </w:tc>
      </w:tr>
    </w:tbl>
    <w:p w14:paraId="2BD2D16D">
      <w:pPr>
        <w:pStyle w:val="2"/>
        <w:rPr>
          <w:color w:val="auto"/>
        </w:rPr>
      </w:pPr>
      <w:r>
        <w:rPr>
          <w:rFonts w:hint="default"/>
          <w:color w:val="auto"/>
          <w:lang w:val="en-US"/>
        </w:rPr>
        <w:t>5</w:t>
      </w:r>
      <w:r>
        <w:rPr>
          <w:color w:val="auto"/>
        </w:rPr>
        <w:t>. Conclusion</w:t>
      </w:r>
    </w:p>
    <w:p w14:paraId="49A72C53">
      <w:pPr>
        <w:rPr>
          <w:color w:val="auto"/>
        </w:rPr>
      </w:pPr>
      <w:r>
        <w:rPr>
          <w:color w:val="auto"/>
        </w:rPr>
        <w:t>The review shows how unsafe query construction, unescaped output, weak secret handling, and unsafe runtime settings create avoidable risk. The secure sample demonstrates safer patterns but still requires CSRF implementation, automated tests, HTTPS and production deployment controls, logging, and dependency review before real-world use.</w:t>
      </w:r>
    </w:p>
    <w:sectPr>
      <w:pgSz w:w="12240" w:h="15840"/>
      <w:pgMar w:top="1008" w:right="1800" w:bottom="1008"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Ethiopic Addis"/>
    <w:panose1 w:val="00000000000000000000"/>
    <w:charset w:val="00"/>
    <w:family w:val="auto"/>
    <w:pitch w:val="default"/>
    <w:sig w:usb0="00000000" w:usb1="00000000" w:usb2="00000000" w:usb3="00000000" w:csb0="00000000" w:csb1="00000000"/>
  </w:font>
  <w:font w:name="Ethiopic Addis">
    <w:panose1 w:val="02000500000000020004"/>
    <w:charset w:val="00"/>
    <w:family w:val="auto"/>
    <w:pitch w:val="default"/>
    <w:sig w:usb0="80000007" w:usb1="00000000" w:usb2="00000000" w:usb3="00000000" w:csb0="20000111" w:csb1="40000000"/>
  </w:font>
  <w:font w:name="Segoe UI">
    <w:panose1 w:val="020B0502040204020203"/>
    <w:charset w:val="00"/>
    <w:family w:val="auto"/>
    <w:pitch w:val="default"/>
    <w:sig w:usb0="E4002EFF" w:usb1="C000E47F" w:usb2="00000009" w:usb3="00000000" w:csb0="200001F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363FEA"/>
    <w:rsid w:val="569D265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19"/>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608</Words>
  <Characters>3876</Characters>
  <Lines>0</Lines>
  <Paragraphs>0</Paragraphs>
  <TotalTime>4</TotalTime>
  <ScaleCrop>false</ScaleCrop>
  <LinksUpToDate>false</LinksUpToDate>
  <CharactersWithSpaces>4415</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Heyru Nejmu</cp:lastModifiedBy>
  <dcterms:modified xsi:type="dcterms:W3CDTF">2026-10-30T08:07:28Z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eyJoZGlkIjoiNGE2YjAwZmI0MTExODEzZjAyZDE0YTU0YjEyNDY4YWQiLCJ1c2VySWQiOiIxNDMxMTIwMzIzOTA1NCJ9</vt:lpwstr>
  </property>
  <property fmtid="{D5CDD505-2E9C-101B-9397-08002B2CF9AE}" pid="3" name="KSOProductBuildVer">
    <vt:lpwstr>1033-12.1.0.29162</vt:lpwstr>
  </property>
  <property fmtid="{D5CDD505-2E9C-101B-9397-08002B2CF9AE}" pid="4" name="ICV">
    <vt:lpwstr>29B01F8366C249948C46571FD1A7FBB3_13</vt:lpwstr>
  </property>
</Properties>
</file>