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1625" w14:textId="77777777" w:rsidR="00552D6C" w:rsidRDefault="00300E5D">
      <w:pPr>
        <w:pStyle w:val="MdHeading1"/>
      </w:pPr>
      <w:r>
        <w:t>Crosslake Signal Assessment Framework</w:t>
      </w:r>
    </w:p>
    <w:p w14:paraId="76A95890" w14:textId="77777777" w:rsidR="00552D6C" w:rsidRDefault="00300E5D">
      <w:pPr>
        <w:pStyle w:val="MdParagraph"/>
      </w:pPr>
      <w:r>
        <w:rPr>
          <w:rStyle w:val="MdStrong"/>
        </w:rPr>
        <w:t>A Proposed 11-lense Model for "Instant Conviction" in Technical Due Diligence</w:t>
      </w:r>
    </w:p>
    <w:p w14:paraId="59B78552" w14:textId="77777777" w:rsidR="00552D6C" w:rsidRDefault="00552D6C">
      <w:pPr>
        <w:pStyle w:val="MdSpace"/>
        <w:spacing w:after="60"/>
      </w:pPr>
    </w:p>
    <w:p w14:paraId="7082821D" w14:textId="77777777" w:rsidR="00552D6C" w:rsidRDefault="00552D6C">
      <w:pPr>
        <w:pStyle w:val="MdHr"/>
        <w:pBdr>
          <w:bottom w:val="single" w:sz="6" w:space="1" w:color="auto"/>
        </w:pBdr>
      </w:pPr>
    </w:p>
    <w:p w14:paraId="59C67EE1" w14:textId="77777777" w:rsidR="00552D6C" w:rsidRDefault="00552D6C">
      <w:pPr>
        <w:pStyle w:val="MdSpace"/>
        <w:spacing w:after="60"/>
      </w:pPr>
    </w:p>
    <w:p w14:paraId="2EFE70C1" w14:textId="77777777" w:rsidR="00552D6C" w:rsidRDefault="00300E5D">
      <w:pPr>
        <w:pStyle w:val="MdHeading2"/>
      </w:pPr>
      <w:r>
        <w:t>Executive Summary</w:t>
      </w:r>
    </w:p>
    <w:p w14:paraId="72386EFB" w14:textId="77777777" w:rsidR="00552D6C" w:rsidRDefault="00300E5D">
      <w:pPr>
        <w:pStyle w:val="MdParagraph"/>
      </w:pPr>
      <w:r>
        <w:t xml:space="preserve">This document proposes a comprehensive, industry-grounded framework for defining the "Top 100 Signals" for Crosslake's conviction engine. The proposed 11-lens structure is designed to provide a holistic and strategic view of </w:t>
      </w:r>
      <w:proofErr w:type="gramStart"/>
      <w:r>
        <w:t>a target</w:t>
      </w:r>
      <w:proofErr w:type="gramEnd"/>
      <w:r>
        <w:t xml:space="preserve"> company's technology.</w:t>
      </w:r>
    </w:p>
    <w:p w14:paraId="7A068F56" w14:textId="77777777" w:rsidR="00552D6C" w:rsidRDefault="00552D6C">
      <w:pPr>
        <w:pStyle w:val="MdSpace"/>
        <w:spacing w:after="60"/>
      </w:pPr>
    </w:p>
    <w:p w14:paraId="68B5D5B1" w14:textId="77777777" w:rsidR="00552D6C" w:rsidRDefault="00300E5D">
      <w:pPr>
        <w:pStyle w:val="MdParagraph"/>
      </w:pPr>
      <w:r>
        <w:t xml:space="preserve">This framework is designed to be presented to a lead partner for validation. It adheres to a core design principle: </w:t>
      </w:r>
      <w:r>
        <w:rPr>
          <w:rStyle w:val="MdStrong"/>
        </w:rPr>
        <w:t>the ability to provide context before, during, and after any signal is inferred.</w:t>
      </w:r>
      <w:r>
        <w:t xml:space="preserve"> Each lens is a strategic viewpoint, and the signals within each lens are the data-driven evidence that supports or challenges the investment thesis.</w:t>
      </w:r>
    </w:p>
    <w:p w14:paraId="22D3E675" w14:textId="77777777" w:rsidR="00552D6C" w:rsidRDefault="00552D6C">
      <w:pPr>
        <w:pStyle w:val="MdSpace"/>
        <w:spacing w:after="60"/>
      </w:pPr>
    </w:p>
    <w:p w14:paraId="363CD359" w14:textId="77777777" w:rsidR="00552D6C" w:rsidRDefault="00552D6C">
      <w:pPr>
        <w:pStyle w:val="MdHr"/>
        <w:pBdr>
          <w:bottom w:val="single" w:sz="6" w:space="1" w:color="auto"/>
        </w:pBdr>
      </w:pPr>
    </w:p>
    <w:p w14:paraId="5684C3B0" w14:textId="77777777" w:rsidR="00552D6C" w:rsidRDefault="00552D6C">
      <w:pPr>
        <w:pStyle w:val="MdSpace"/>
        <w:spacing w:after="60"/>
      </w:pPr>
    </w:p>
    <w:p w14:paraId="3E542648" w14:textId="77777777" w:rsidR="00552D6C" w:rsidRDefault="00300E5D">
      <w:pPr>
        <w:pStyle w:val="MdHeading2"/>
      </w:pPr>
      <w:r>
        <w:t>The Problem with Narrow Frameworks</w:t>
      </w:r>
    </w:p>
    <w:p w14:paraId="3D4D6ED9" w14:textId="77777777" w:rsidR="00552D6C" w:rsidRDefault="00300E5D">
      <w:pPr>
        <w:pStyle w:val="MdParagraph"/>
      </w:pPr>
      <w:r>
        <w:t>Traditional technical due diligence, and many existing tools, focus on a narrow set of technical metrics. While important, this approach can miss critical risks and opportunities that are only visible when the technology is viewed in its broader strategic, operational, and commercial context. As Kearney notes:</w:t>
      </w:r>
    </w:p>
    <w:p w14:paraId="5EA25ABD" w14:textId="77777777" w:rsidR="00552D6C" w:rsidRDefault="00552D6C">
      <w:pPr>
        <w:pStyle w:val="MdSpace"/>
        <w:spacing w:after="60"/>
      </w:pPr>
    </w:p>
    <w:p w14:paraId="157FF1AF" w14:textId="77777777" w:rsidR="00552D6C" w:rsidRDefault="00300E5D">
      <w:pPr>
        <w:pStyle w:val="MdBlockquote"/>
      </w:pPr>
      <w:r>
        <w:t>"The traditional TDD process is slow and highly manual and often fails to expose red flags that can derail post-acquisition value creation... The real risks—fragile system architectures, hidden security vulnerabilities, or inefficient data structures—are often buried below the surface." [1]</w:t>
      </w:r>
    </w:p>
    <w:p w14:paraId="68678510" w14:textId="77777777" w:rsidR="00552D6C" w:rsidRDefault="00552D6C">
      <w:pPr>
        <w:pStyle w:val="MdSpace"/>
        <w:spacing w:after="60"/>
      </w:pPr>
    </w:p>
    <w:p w14:paraId="6668A362" w14:textId="77777777" w:rsidR="00552D6C" w:rsidRDefault="00300E5D">
      <w:pPr>
        <w:pStyle w:val="MdParagraph"/>
      </w:pPr>
      <w:r>
        <w:t>A more comprehensive framework is needed to provide the "instant conviction" that deal leads and operating partners require.</w:t>
      </w:r>
    </w:p>
    <w:p w14:paraId="5750C802" w14:textId="77777777" w:rsidR="00552D6C" w:rsidRDefault="00552D6C">
      <w:pPr>
        <w:pStyle w:val="MdSpace"/>
        <w:spacing w:after="60"/>
      </w:pPr>
    </w:p>
    <w:p w14:paraId="5115D3A9" w14:textId="77777777" w:rsidR="00552D6C" w:rsidRDefault="00552D6C">
      <w:pPr>
        <w:pStyle w:val="MdHr"/>
        <w:pBdr>
          <w:bottom w:val="single" w:sz="6" w:space="1" w:color="auto"/>
        </w:pBdr>
      </w:pPr>
    </w:p>
    <w:p w14:paraId="4D65D98E" w14:textId="77777777" w:rsidR="00552D6C" w:rsidRDefault="00552D6C">
      <w:pPr>
        <w:pStyle w:val="MdSpace"/>
        <w:spacing w:after="60"/>
      </w:pPr>
    </w:p>
    <w:p w14:paraId="5757EA49" w14:textId="77777777" w:rsidR="00552D6C" w:rsidRDefault="00300E5D">
      <w:pPr>
        <w:pStyle w:val="MdHeading2"/>
      </w:pPr>
      <w:r>
        <w:lastRenderedPageBreak/>
        <w:t>The Proposed 11-Lens Framework</w:t>
      </w:r>
    </w:p>
    <w:p w14:paraId="62C3DA38" w14:textId="77777777" w:rsidR="00552D6C" w:rsidRDefault="00300E5D">
      <w:pPr>
        <w:pStyle w:val="MdParagraph"/>
      </w:pPr>
      <w:r>
        <w:t>The following table outlines the eleven proposed lenses for the Crosslake Signal Assessment Framework. This structure is aligned with the comprehensive approaches used by leading firms, while being tailored to the specific needs of a technology-focused due diligence practice.</w:t>
      </w:r>
    </w:p>
    <w:p w14:paraId="0E977F2C" w14:textId="77777777" w:rsidR="00552D6C" w:rsidRDefault="00552D6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27"/>
        <w:gridCol w:w="4343"/>
        <w:gridCol w:w="2456"/>
      </w:tblGrid>
      <w:tr w:rsidR="00552D6C" w14:paraId="2B220FD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4F672E1" w14:textId="77777777" w:rsidR="00552D6C" w:rsidRDefault="00300E5D">
            <w:pPr>
              <w:pStyle w:val="MdTableHeader"/>
            </w:pPr>
            <w:r>
              <w:t>Lens</w:t>
            </w:r>
          </w:p>
        </w:tc>
        <w:tc>
          <w:tcPr>
            <w:tcW w:w="0" w:type="auto"/>
            <w:tcMar>
              <w:top w:w="100" w:type="dxa"/>
              <w:left w:w="120" w:type="dxa"/>
              <w:bottom w:w="100" w:type="dxa"/>
              <w:right w:w="120" w:type="dxa"/>
            </w:tcMar>
            <w:vAlign w:val="center"/>
          </w:tcPr>
          <w:p w14:paraId="5DA20EE8" w14:textId="77777777" w:rsidR="00552D6C" w:rsidRDefault="00300E5D">
            <w:pPr>
              <w:pStyle w:val="MdTableHeader"/>
            </w:pPr>
            <w:r>
              <w:t>Description</w:t>
            </w:r>
          </w:p>
        </w:tc>
        <w:tc>
          <w:tcPr>
            <w:tcW w:w="0" w:type="auto"/>
            <w:tcMar>
              <w:top w:w="100" w:type="dxa"/>
              <w:left w:w="120" w:type="dxa"/>
              <w:bottom w:w="100" w:type="dxa"/>
              <w:right w:w="120" w:type="dxa"/>
            </w:tcMar>
            <w:vAlign w:val="center"/>
          </w:tcPr>
          <w:p w14:paraId="2D22CD13" w14:textId="77777777" w:rsidR="00552D6C" w:rsidRDefault="00300E5D">
            <w:pPr>
              <w:pStyle w:val="MdTableHeader"/>
            </w:pPr>
            <w:r>
              <w:t>Key Question Answered</w:t>
            </w:r>
          </w:p>
        </w:tc>
      </w:tr>
      <w:tr w:rsidR="00552D6C" w14:paraId="1BDA818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C799CE" w14:textId="77777777" w:rsidR="00552D6C" w:rsidRDefault="00300E5D">
            <w:pPr>
              <w:pStyle w:val="MdTableCell"/>
            </w:pPr>
            <w:r>
              <w:rPr>
                <w:rStyle w:val="MdStrong"/>
              </w:rPr>
              <w:t>1. Strategy &amp; Roadmap Alignment</w:t>
            </w:r>
          </w:p>
        </w:tc>
        <w:tc>
          <w:tcPr>
            <w:tcW w:w="0" w:type="auto"/>
            <w:tcMar>
              <w:top w:w="80" w:type="dxa"/>
              <w:left w:w="120" w:type="dxa"/>
              <w:bottom w:w="80" w:type="dxa"/>
              <w:right w:w="120" w:type="dxa"/>
            </w:tcMar>
            <w:vAlign w:val="center"/>
          </w:tcPr>
          <w:p w14:paraId="08644BBB" w14:textId="77777777" w:rsidR="00552D6C" w:rsidRDefault="00300E5D">
            <w:pPr>
              <w:pStyle w:val="MdTableCell"/>
            </w:pPr>
            <w:r>
              <w:t>Assesses the alignment between the company's stated business strategy and its technology and product roadmaps.</w:t>
            </w:r>
          </w:p>
        </w:tc>
        <w:tc>
          <w:tcPr>
            <w:tcW w:w="0" w:type="auto"/>
            <w:tcMar>
              <w:top w:w="80" w:type="dxa"/>
              <w:left w:w="120" w:type="dxa"/>
              <w:bottom w:w="80" w:type="dxa"/>
              <w:right w:w="120" w:type="dxa"/>
            </w:tcMar>
            <w:vAlign w:val="center"/>
          </w:tcPr>
          <w:p w14:paraId="0AB9FAE3" w14:textId="77777777" w:rsidR="00552D6C" w:rsidRDefault="00300E5D">
            <w:pPr>
              <w:pStyle w:val="MdTableCell"/>
            </w:pPr>
            <w:r>
              <w:t xml:space="preserve">Is </w:t>
            </w:r>
            <w:proofErr w:type="gramStart"/>
            <w:r>
              <w:t>the technology</w:t>
            </w:r>
            <w:proofErr w:type="gramEnd"/>
            <w:r>
              <w:t xml:space="preserve"> a strategic enabler or a bottleneck?</w:t>
            </w:r>
          </w:p>
        </w:tc>
      </w:tr>
      <w:tr w:rsidR="00552D6C" w14:paraId="3380AA2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A8C2B5" w14:textId="77777777" w:rsidR="00552D6C" w:rsidRDefault="00300E5D">
            <w:pPr>
              <w:pStyle w:val="MdTableCell"/>
            </w:pPr>
            <w:r>
              <w:rPr>
                <w:rStyle w:val="MdStrong"/>
              </w:rPr>
              <w:t>2. Technology &amp; Architecture</w:t>
            </w:r>
          </w:p>
        </w:tc>
        <w:tc>
          <w:tcPr>
            <w:tcW w:w="0" w:type="auto"/>
            <w:tcMar>
              <w:top w:w="80" w:type="dxa"/>
              <w:left w:w="120" w:type="dxa"/>
              <w:bottom w:w="80" w:type="dxa"/>
              <w:right w:w="120" w:type="dxa"/>
            </w:tcMar>
            <w:vAlign w:val="center"/>
          </w:tcPr>
          <w:p w14:paraId="6D427457" w14:textId="77777777" w:rsidR="00552D6C" w:rsidRDefault="00300E5D">
            <w:pPr>
              <w:pStyle w:val="MdTableCell"/>
            </w:pPr>
            <w:r>
              <w:t>Evaluates the core software and systems architecture for scalability, maintainability, and technical debt.</w:t>
            </w:r>
          </w:p>
        </w:tc>
        <w:tc>
          <w:tcPr>
            <w:tcW w:w="0" w:type="auto"/>
            <w:tcMar>
              <w:top w:w="80" w:type="dxa"/>
              <w:left w:w="120" w:type="dxa"/>
              <w:bottom w:w="80" w:type="dxa"/>
              <w:right w:w="120" w:type="dxa"/>
            </w:tcMar>
            <w:vAlign w:val="center"/>
          </w:tcPr>
          <w:p w14:paraId="29761E99" w14:textId="77777777" w:rsidR="00552D6C" w:rsidRDefault="00300E5D">
            <w:pPr>
              <w:pStyle w:val="MdTableCell"/>
            </w:pPr>
            <w:r>
              <w:t>Is the technology asset sound and fit for purpose?</w:t>
            </w:r>
          </w:p>
        </w:tc>
      </w:tr>
      <w:tr w:rsidR="00552D6C" w14:paraId="520353A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0B5F98" w14:textId="77777777" w:rsidR="00552D6C" w:rsidRDefault="00300E5D">
            <w:pPr>
              <w:pStyle w:val="MdTableCell"/>
            </w:pPr>
            <w:r>
              <w:rPr>
                <w:rStyle w:val="MdStrong"/>
              </w:rPr>
              <w:t>3. Engineering &amp; Delivery</w:t>
            </w:r>
          </w:p>
        </w:tc>
        <w:tc>
          <w:tcPr>
            <w:tcW w:w="0" w:type="auto"/>
            <w:tcMar>
              <w:top w:w="80" w:type="dxa"/>
              <w:left w:w="120" w:type="dxa"/>
              <w:bottom w:w="80" w:type="dxa"/>
              <w:right w:w="120" w:type="dxa"/>
            </w:tcMar>
            <w:vAlign w:val="center"/>
          </w:tcPr>
          <w:p w14:paraId="515F3F7B" w14:textId="77777777" w:rsidR="00552D6C" w:rsidRDefault="00300E5D">
            <w:pPr>
              <w:pStyle w:val="MdTableCell"/>
            </w:pPr>
            <w:r>
              <w:t>Measures the maturity and efficiency of the software development lifecycle (SDLC).</w:t>
            </w:r>
          </w:p>
        </w:tc>
        <w:tc>
          <w:tcPr>
            <w:tcW w:w="0" w:type="auto"/>
            <w:tcMar>
              <w:top w:w="80" w:type="dxa"/>
              <w:left w:w="120" w:type="dxa"/>
              <w:bottom w:w="80" w:type="dxa"/>
              <w:right w:w="120" w:type="dxa"/>
            </w:tcMar>
            <w:vAlign w:val="center"/>
          </w:tcPr>
          <w:p w14:paraId="4E1335CA" w14:textId="77777777" w:rsidR="00552D6C" w:rsidRDefault="00300E5D">
            <w:pPr>
              <w:pStyle w:val="MdTableCell"/>
            </w:pPr>
            <w:r>
              <w:t>Can the team execute on the roadmap?</w:t>
            </w:r>
          </w:p>
        </w:tc>
      </w:tr>
      <w:tr w:rsidR="00552D6C" w14:paraId="12DF763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4AC521B" w14:textId="77777777" w:rsidR="00552D6C" w:rsidRDefault="00300E5D">
            <w:pPr>
              <w:pStyle w:val="MdTableCell"/>
            </w:pPr>
            <w:r>
              <w:rPr>
                <w:rStyle w:val="MdStrong"/>
              </w:rPr>
              <w:t>4. Operational Efficiency &amp; Scalability</w:t>
            </w:r>
          </w:p>
        </w:tc>
        <w:tc>
          <w:tcPr>
            <w:tcW w:w="0" w:type="auto"/>
            <w:tcMar>
              <w:top w:w="80" w:type="dxa"/>
              <w:left w:w="120" w:type="dxa"/>
              <w:bottom w:w="80" w:type="dxa"/>
              <w:right w:w="120" w:type="dxa"/>
            </w:tcMar>
            <w:vAlign w:val="center"/>
          </w:tcPr>
          <w:p w14:paraId="41D6B0FF" w14:textId="77777777" w:rsidR="00552D6C" w:rsidRDefault="00300E5D">
            <w:pPr>
              <w:pStyle w:val="MdTableCell"/>
            </w:pPr>
            <w:r>
              <w:t>Assesses operational efficiency, scalability, and alignment with growth plans.</w:t>
            </w:r>
          </w:p>
        </w:tc>
        <w:tc>
          <w:tcPr>
            <w:tcW w:w="0" w:type="auto"/>
            <w:tcMar>
              <w:top w:w="80" w:type="dxa"/>
              <w:left w:w="120" w:type="dxa"/>
              <w:bottom w:w="80" w:type="dxa"/>
              <w:right w:w="120" w:type="dxa"/>
            </w:tcMar>
            <w:vAlign w:val="center"/>
          </w:tcPr>
          <w:p w14:paraId="645102A6" w14:textId="77777777" w:rsidR="00552D6C" w:rsidRDefault="00300E5D">
            <w:pPr>
              <w:pStyle w:val="MdTableCell"/>
            </w:pPr>
            <w:r>
              <w:t>Is the business built to scale efficiently?</w:t>
            </w:r>
          </w:p>
        </w:tc>
      </w:tr>
      <w:tr w:rsidR="00552D6C" w14:paraId="3934923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1C7FD7F" w14:textId="77777777" w:rsidR="00552D6C" w:rsidRDefault="00300E5D">
            <w:pPr>
              <w:pStyle w:val="MdTableCell"/>
            </w:pPr>
            <w:r>
              <w:rPr>
                <w:rStyle w:val="MdStrong"/>
              </w:rPr>
              <w:t>5. Infrastructure &amp; Technology</w:t>
            </w:r>
          </w:p>
        </w:tc>
        <w:tc>
          <w:tcPr>
            <w:tcW w:w="0" w:type="auto"/>
            <w:tcMar>
              <w:top w:w="80" w:type="dxa"/>
              <w:left w:w="120" w:type="dxa"/>
              <w:bottom w:w="80" w:type="dxa"/>
              <w:right w:w="120" w:type="dxa"/>
            </w:tcMar>
            <w:vAlign w:val="center"/>
          </w:tcPr>
          <w:p w14:paraId="1054A3DE" w14:textId="77777777" w:rsidR="00552D6C" w:rsidRDefault="00300E5D">
            <w:pPr>
              <w:pStyle w:val="MdTableCell"/>
            </w:pPr>
            <w:r>
              <w:t>Assesses the reliability, scalability, and cost-effectiveness of the IT infrastructure.</w:t>
            </w:r>
          </w:p>
        </w:tc>
        <w:tc>
          <w:tcPr>
            <w:tcW w:w="0" w:type="auto"/>
            <w:tcMar>
              <w:top w:w="80" w:type="dxa"/>
              <w:left w:w="120" w:type="dxa"/>
              <w:bottom w:w="80" w:type="dxa"/>
              <w:right w:w="120" w:type="dxa"/>
            </w:tcMar>
            <w:vAlign w:val="center"/>
          </w:tcPr>
          <w:p w14:paraId="1A1F2E01" w14:textId="77777777" w:rsidR="00552D6C" w:rsidRDefault="00300E5D">
            <w:pPr>
              <w:pStyle w:val="MdTableCell"/>
            </w:pPr>
            <w:r>
              <w:t>Is the platform stable and technically sound?</w:t>
            </w:r>
          </w:p>
        </w:tc>
      </w:tr>
      <w:tr w:rsidR="00552D6C" w14:paraId="5C982A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0DAF8A4" w14:textId="77777777" w:rsidR="00552D6C" w:rsidRDefault="00300E5D">
            <w:pPr>
              <w:pStyle w:val="MdTableCell"/>
            </w:pPr>
            <w:r>
              <w:rPr>
                <w:rStyle w:val="MdStrong"/>
              </w:rPr>
              <w:t>6. Cybersecurity &amp; Compliance</w:t>
            </w:r>
          </w:p>
        </w:tc>
        <w:tc>
          <w:tcPr>
            <w:tcW w:w="0" w:type="auto"/>
            <w:tcMar>
              <w:top w:w="80" w:type="dxa"/>
              <w:left w:w="120" w:type="dxa"/>
              <w:bottom w:w="80" w:type="dxa"/>
              <w:right w:w="120" w:type="dxa"/>
            </w:tcMar>
            <w:vAlign w:val="center"/>
          </w:tcPr>
          <w:p w14:paraId="5B81742F" w14:textId="77777777" w:rsidR="00552D6C" w:rsidRDefault="00300E5D">
            <w:pPr>
              <w:pStyle w:val="MdTableCell"/>
            </w:pPr>
            <w:r>
              <w:t>Evaluates the company's security posture and adherence to regulatory standards.</w:t>
            </w:r>
          </w:p>
        </w:tc>
        <w:tc>
          <w:tcPr>
            <w:tcW w:w="0" w:type="auto"/>
            <w:tcMar>
              <w:top w:w="80" w:type="dxa"/>
              <w:left w:w="120" w:type="dxa"/>
              <w:bottom w:w="80" w:type="dxa"/>
              <w:right w:w="120" w:type="dxa"/>
            </w:tcMar>
            <w:vAlign w:val="center"/>
          </w:tcPr>
          <w:p w14:paraId="1053094B" w14:textId="77777777" w:rsidR="00552D6C" w:rsidRDefault="00300E5D">
            <w:pPr>
              <w:pStyle w:val="MdTableCell"/>
            </w:pPr>
            <w:r>
              <w:t>What are the security and compliance risks?</w:t>
            </w:r>
          </w:p>
        </w:tc>
      </w:tr>
      <w:tr w:rsidR="00552D6C" w14:paraId="57D25C2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91600E" w14:textId="77777777" w:rsidR="00552D6C" w:rsidRDefault="00300E5D">
            <w:pPr>
              <w:pStyle w:val="MdTableCell"/>
            </w:pPr>
            <w:r>
              <w:rPr>
                <w:rStyle w:val="MdStrong"/>
              </w:rPr>
              <w:t>7. Organization &amp; Talent</w:t>
            </w:r>
          </w:p>
        </w:tc>
        <w:tc>
          <w:tcPr>
            <w:tcW w:w="0" w:type="auto"/>
            <w:tcMar>
              <w:top w:w="80" w:type="dxa"/>
              <w:left w:w="120" w:type="dxa"/>
              <w:bottom w:w="80" w:type="dxa"/>
              <w:right w:w="120" w:type="dxa"/>
            </w:tcMar>
            <w:vAlign w:val="center"/>
          </w:tcPr>
          <w:p w14:paraId="681EC92F" w14:textId="77777777" w:rsidR="00552D6C" w:rsidRDefault="00300E5D">
            <w:pPr>
              <w:pStyle w:val="MdTableCell"/>
            </w:pPr>
            <w:r>
              <w:t>Assesses the structure, skills, and health of the technology organization.</w:t>
            </w:r>
          </w:p>
        </w:tc>
        <w:tc>
          <w:tcPr>
            <w:tcW w:w="0" w:type="auto"/>
            <w:tcMar>
              <w:top w:w="80" w:type="dxa"/>
              <w:left w:w="120" w:type="dxa"/>
              <w:bottom w:w="80" w:type="dxa"/>
              <w:right w:w="120" w:type="dxa"/>
            </w:tcMar>
            <w:vAlign w:val="center"/>
          </w:tcPr>
          <w:p w14:paraId="0018F096" w14:textId="77777777" w:rsidR="00552D6C" w:rsidRDefault="00300E5D">
            <w:pPr>
              <w:pStyle w:val="MdTableCell"/>
            </w:pPr>
            <w:r>
              <w:t>Is the human capital asset strong?</w:t>
            </w:r>
          </w:p>
        </w:tc>
      </w:tr>
      <w:tr w:rsidR="00552D6C" w14:paraId="38DCE56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26C7DF" w14:textId="77777777" w:rsidR="00552D6C" w:rsidRDefault="00300E5D">
            <w:pPr>
              <w:pStyle w:val="MdTableCell"/>
            </w:pPr>
            <w:r>
              <w:rPr>
                <w:rStyle w:val="MdStrong"/>
              </w:rPr>
              <w:t>8. Product &amp; Customer Experience</w:t>
            </w:r>
          </w:p>
        </w:tc>
        <w:tc>
          <w:tcPr>
            <w:tcW w:w="0" w:type="auto"/>
            <w:tcMar>
              <w:top w:w="80" w:type="dxa"/>
              <w:left w:w="120" w:type="dxa"/>
              <w:bottom w:w="80" w:type="dxa"/>
              <w:right w:w="120" w:type="dxa"/>
            </w:tcMar>
            <w:vAlign w:val="center"/>
          </w:tcPr>
          <w:p w14:paraId="36CE8CDB" w14:textId="77777777" w:rsidR="00552D6C" w:rsidRDefault="00300E5D">
            <w:pPr>
              <w:pStyle w:val="MdTableCell"/>
            </w:pPr>
            <w:r>
              <w:t>Evaluates the quality, usability, and market fit of the product.</w:t>
            </w:r>
          </w:p>
        </w:tc>
        <w:tc>
          <w:tcPr>
            <w:tcW w:w="0" w:type="auto"/>
            <w:tcMar>
              <w:top w:w="80" w:type="dxa"/>
              <w:left w:w="120" w:type="dxa"/>
              <w:bottom w:w="80" w:type="dxa"/>
              <w:right w:w="120" w:type="dxa"/>
            </w:tcMar>
            <w:vAlign w:val="center"/>
          </w:tcPr>
          <w:p w14:paraId="2CFE750B" w14:textId="77777777" w:rsidR="00552D6C" w:rsidRDefault="00300E5D">
            <w:pPr>
              <w:pStyle w:val="MdTableCell"/>
            </w:pPr>
            <w:r>
              <w:t>Does the product delight customers?</w:t>
            </w:r>
          </w:p>
        </w:tc>
      </w:tr>
      <w:tr w:rsidR="00552D6C" w14:paraId="13E42E5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59D2C0" w14:textId="77777777" w:rsidR="00552D6C" w:rsidRDefault="00300E5D">
            <w:pPr>
              <w:pStyle w:val="MdTableCell"/>
            </w:pPr>
            <w:r>
              <w:rPr>
                <w:rStyle w:val="MdStrong"/>
              </w:rPr>
              <w:t>9. Data &amp; AI Readiness</w:t>
            </w:r>
          </w:p>
        </w:tc>
        <w:tc>
          <w:tcPr>
            <w:tcW w:w="0" w:type="auto"/>
            <w:tcMar>
              <w:top w:w="80" w:type="dxa"/>
              <w:left w:w="120" w:type="dxa"/>
              <w:bottom w:w="80" w:type="dxa"/>
              <w:right w:w="120" w:type="dxa"/>
            </w:tcMar>
            <w:vAlign w:val="center"/>
          </w:tcPr>
          <w:p w14:paraId="49F6CEEA" w14:textId="77777777" w:rsidR="00552D6C" w:rsidRDefault="00300E5D">
            <w:pPr>
              <w:pStyle w:val="MdTableCell"/>
            </w:pPr>
            <w:r>
              <w:t>Assesses the company's data architecture and AI/ML capabilities.</w:t>
            </w:r>
          </w:p>
        </w:tc>
        <w:tc>
          <w:tcPr>
            <w:tcW w:w="0" w:type="auto"/>
            <w:tcMar>
              <w:top w:w="80" w:type="dxa"/>
              <w:left w:w="120" w:type="dxa"/>
              <w:bottom w:w="80" w:type="dxa"/>
              <w:right w:w="120" w:type="dxa"/>
            </w:tcMar>
            <w:vAlign w:val="center"/>
          </w:tcPr>
          <w:p w14:paraId="1C6CC592" w14:textId="77777777" w:rsidR="00552D6C" w:rsidRDefault="00300E5D">
            <w:pPr>
              <w:pStyle w:val="MdTableCell"/>
            </w:pPr>
            <w:r>
              <w:t>Is the company positioned for data-driven growth?</w:t>
            </w:r>
          </w:p>
        </w:tc>
      </w:tr>
      <w:tr w:rsidR="00552D6C" w14:paraId="0952510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D33B5E" w14:textId="77777777" w:rsidR="00552D6C" w:rsidRDefault="00300E5D">
            <w:pPr>
              <w:pStyle w:val="MdTableCell"/>
            </w:pPr>
            <w:r>
              <w:rPr>
                <w:rStyle w:val="MdStrong"/>
              </w:rPr>
              <w:t>10. Third-Party &amp; Vendor Risk</w:t>
            </w:r>
          </w:p>
        </w:tc>
        <w:tc>
          <w:tcPr>
            <w:tcW w:w="0" w:type="auto"/>
            <w:tcMar>
              <w:top w:w="80" w:type="dxa"/>
              <w:left w:w="120" w:type="dxa"/>
              <w:bottom w:w="80" w:type="dxa"/>
              <w:right w:w="120" w:type="dxa"/>
            </w:tcMar>
            <w:vAlign w:val="center"/>
          </w:tcPr>
          <w:p w14:paraId="4999449D" w14:textId="77777777" w:rsidR="00552D6C" w:rsidRDefault="00300E5D">
            <w:pPr>
              <w:pStyle w:val="MdTableCell"/>
            </w:pPr>
            <w:r>
              <w:t>Evaluates reliance on third-party software and vendors.</w:t>
            </w:r>
          </w:p>
        </w:tc>
        <w:tc>
          <w:tcPr>
            <w:tcW w:w="0" w:type="auto"/>
            <w:tcMar>
              <w:top w:w="80" w:type="dxa"/>
              <w:left w:w="120" w:type="dxa"/>
              <w:bottom w:w="80" w:type="dxa"/>
              <w:right w:w="120" w:type="dxa"/>
            </w:tcMar>
            <w:vAlign w:val="center"/>
          </w:tcPr>
          <w:p w14:paraId="17EA0F1C" w14:textId="77777777" w:rsidR="00552D6C" w:rsidRDefault="00300E5D">
            <w:pPr>
              <w:pStyle w:val="MdTableCell"/>
            </w:pPr>
            <w:r>
              <w:t>What are the external dependencies and risks?</w:t>
            </w:r>
          </w:p>
        </w:tc>
      </w:tr>
      <w:tr w:rsidR="00552D6C" w14:paraId="31E3A89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5FA772B" w14:textId="77777777" w:rsidR="00552D6C" w:rsidRDefault="00300E5D">
            <w:pPr>
              <w:pStyle w:val="MdTableCell"/>
            </w:pPr>
            <w:r>
              <w:rPr>
                <w:rStyle w:val="MdStrong"/>
              </w:rPr>
              <w:t>11. Value Creation Potential</w:t>
            </w:r>
          </w:p>
        </w:tc>
        <w:tc>
          <w:tcPr>
            <w:tcW w:w="0" w:type="auto"/>
            <w:tcBorders>
              <w:bottom w:val="single" w:sz="4" w:space="0" w:color="E1E4E8"/>
            </w:tcBorders>
            <w:tcMar>
              <w:top w:w="80" w:type="dxa"/>
              <w:left w:w="120" w:type="dxa"/>
              <w:bottom w:w="80" w:type="dxa"/>
              <w:right w:w="120" w:type="dxa"/>
            </w:tcMar>
            <w:vAlign w:val="center"/>
          </w:tcPr>
          <w:p w14:paraId="64BA845C" w14:textId="77777777" w:rsidR="00552D6C" w:rsidRDefault="00300E5D">
            <w:pPr>
              <w:pStyle w:val="MdTableCell"/>
            </w:pPr>
            <w:r>
              <w:t>Identifies opportunities for technology-driven growth and cost optimization.</w:t>
            </w:r>
          </w:p>
        </w:tc>
        <w:tc>
          <w:tcPr>
            <w:tcW w:w="0" w:type="auto"/>
            <w:tcBorders>
              <w:bottom w:val="single" w:sz="4" w:space="0" w:color="E1E4E8"/>
            </w:tcBorders>
            <w:tcMar>
              <w:top w:w="80" w:type="dxa"/>
              <w:left w:w="120" w:type="dxa"/>
              <w:bottom w:w="80" w:type="dxa"/>
              <w:right w:w="120" w:type="dxa"/>
            </w:tcMar>
            <w:vAlign w:val="center"/>
          </w:tcPr>
          <w:p w14:paraId="6274B229" w14:textId="77777777" w:rsidR="00552D6C" w:rsidRDefault="00300E5D">
            <w:pPr>
              <w:pStyle w:val="MdTableCell"/>
            </w:pPr>
            <w:r>
              <w:t>Where is the upside?</w:t>
            </w:r>
          </w:p>
        </w:tc>
      </w:tr>
    </w:tbl>
    <w:p w14:paraId="05C7463B" w14:textId="77777777" w:rsidR="00552D6C" w:rsidRDefault="00552D6C">
      <w:pPr>
        <w:pStyle w:val="MdHr"/>
        <w:pBdr>
          <w:bottom w:val="single" w:sz="6" w:space="1" w:color="auto"/>
        </w:pBdr>
      </w:pPr>
    </w:p>
    <w:p w14:paraId="48DE00B4" w14:textId="77777777" w:rsidR="00552D6C" w:rsidRDefault="00552D6C">
      <w:pPr>
        <w:pStyle w:val="MdSpace"/>
        <w:spacing w:after="60"/>
      </w:pPr>
    </w:p>
    <w:p w14:paraId="07CDC6DF" w14:textId="77777777" w:rsidR="00552D6C" w:rsidRDefault="00300E5D">
      <w:pPr>
        <w:pStyle w:val="MdHeading2"/>
      </w:pPr>
      <w:r>
        <w:lastRenderedPageBreak/>
        <w:t>Signal Distribution by Lens</w:t>
      </w:r>
    </w:p>
    <w:p w14:paraId="7C530571" w14:textId="77777777" w:rsidR="00552D6C" w:rsidRDefault="00300E5D">
      <w:pPr>
        <w:pStyle w:val="MdParagraph"/>
      </w:pPr>
      <w:r>
        <w:t>The following table shows the proposed distribution of the Top 100 Signals across the eleven lenses. This distribution is weighted towards the areas that typically have the highest impact on conviction and value creation.</w:t>
      </w:r>
    </w:p>
    <w:p w14:paraId="1804B53E" w14:textId="77777777" w:rsidR="00552D6C" w:rsidRDefault="00552D6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273"/>
        <w:gridCol w:w="3753"/>
      </w:tblGrid>
      <w:tr w:rsidR="00552D6C" w14:paraId="2138B71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7A9C24D" w14:textId="77777777" w:rsidR="00552D6C" w:rsidRDefault="00300E5D">
            <w:pPr>
              <w:pStyle w:val="MdTableHeader"/>
            </w:pPr>
            <w:r>
              <w:t>Lens</w:t>
            </w:r>
          </w:p>
        </w:tc>
        <w:tc>
          <w:tcPr>
            <w:tcW w:w="0" w:type="auto"/>
            <w:tcMar>
              <w:top w:w="100" w:type="dxa"/>
              <w:left w:w="120" w:type="dxa"/>
              <w:bottom w:w="100" w:type="dxa"/>
              <w:right w:w="120" w:type="dxa"/>
            </w:tcMar>
            <w:vAlign w:val="center"/>
          </w:tcPr>
          <w:p w14:paraId="168FAEFC" w14:textId="77777777" w:rsidR="00552D6C" w:rsidRDefault="00300E5D">
            <w:pPr>
              <w:pStyle w:val="MdTableHeader"/>
              <w:jc w:val="center"/>
            </w:pPr>
            <w:r>
              <w:t>Proposed Signal Count</w:t>
            </w:r>
          </w:p>
        </w:tc>
      </w:tr>
      <w:tr w:rsidR="00552D6C" w14:paraId="615947E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D3BF86" w14:textId="77777777" w:rsidR="00552D6C" w:rsidRDefault="00300E5D">
            <w:pPr>
              <w:pStyle w:val="MdTableCell"/>
            </w:pPr>
            <w:r>
              <w:t>1. Strategy &amp; Roadmap Alignment</w:t>
            </w:r>
          </w:p>
        </w:tc>
        <w:tc>
          <w:tcPr>
            <w:tcW w:w="0" w:type="auto"/>
            <w:tcMar>
              <w:top w:w="80" w:type="dxa"/>
              <w:left w:w="120" w:type="dxa"/>
              <w:bottom w:w="80" w:type="dxa"/>
              <w:right w:w="120" w:type="dxa"/>
            </w:tcMar>
            <w:vAlign w:val="center"/>
          </w:tcPr>
          <w:p w14:paraId="316741EF" w14:textId="77777777" w:rsidR="00552D6C" w:rsidRDefault="00300E5D">
            <w:pPr>
              <w:pStyle w:val="MdTableCell"/>
              <w:jc w:val="center"/>
            </w:pPr>
            <w:r>
              <w:t>8</w:t>
            </w:r>
          </w:p>
        </w:tc>
      </w:tr>
      <w:tr w:rsidR="00552D6C" w14:paraId="0FEB628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27B60B" w14:textId="77777777" w:rsidR="00552D6C" w:rsidRDefault="00300E5D">
            <w:pPr>
              <w:pStyle w:val="MdTableCell"/>
            </w:pPr>
            <w:r>
              <w:t>2. Technology &amp; Architecture</w:t>
            </w:r>
          </w:p>
        </w:tc>
        <w:tc>
          <w:tcPr>
            <w:tcW w:w="0" w:type="auto"/>
            <w:tcMar>
              <w:top w:w="80" w:type="dxa"/>
              <w:left w:w="120" w:type="dxa"/>
              <w:bottom w:w="80" w:type="dxa"/>
              <w:right w:w="120" w:type="dxa"/>
            </w:tcMar>
            <w:vAlign w:val="center"/>
          </w:tcPr>
          <w:p w14:paraId="437F9106" w14:textId="77777777" w:rsidR="00552D6C" w:rsidRDefault="00300E5D">
            <w:pPr>
              <w:pStyle w:val="MdTableCell"/>
              <w:jc w:val="center"/>
            </w:pPr>
            <w:r>
              <w:t>12</w:t>
            </w:r>
          </w:p>
        </w:tc>
      </w:tr>
      <w:tr w:rsidR="00552D6C" w14:paraId="5C5568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2FBC98" w14:textId="77777777" w:rsidR="00552D6C" w:rsidRDefault="00300E5D">
            <w:pPr>
              <w:pStyle w:val="MdTableCell"/>
            </w:pPr>
            <w:r>
              <w:t>3. Engineering &amp; Delivery</w:t>
            </w:r>
          </w:p>
        </w:tc>
        <w:tc>
          <w:tcPr>
            <w:tcW w:w="0" w:type="auto"/>
            <w:tcMar>
              <w:top w:w="80" w:type="dxa"/>
              <w:left w:w="120" w:type="dxa"/>
              <w:bottom w:w="80" w:type="dxa"/>
              <w:right w:w="120" w:type="dxa"/>
            </w:tcMar>
            <w:vAlign w:val="center"/>
          </w:tcPr>
          <w:p w14:paraId="4662EE1B" w14:textId="77777777" w:rsidR="00552D6C" w:rsidRDefault="00300E5D">
            <w:pPr>
              <w:pStyle w:val="MdTableCell"/>
              <w:jc w:val="center"/>
            </w:pPr>
            <w:r>
              <w:t>12</w:t>
            </w:r>
          </w:p>
        </w:tc>
      </w:tr>
      <w:tr w:rsidR="00552D6C" w14:paraId="52A4A81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8F8B1F" w14:textId="77777777" w:rsidR="00552D6C" w:rsidRDefault="00300E5D">
            <w:pPr>
              <w:pStyle w:val="MdTableCell"/>
            </w:pPr>
            <w:r>
              <w:t>4. Operational Efficiency &amp; Scalability</w:t>
            </w:r>
          </w:p>
        </w:tc>
        <w:tc>
          <w:tcPr>
            <w:tcW w:w="0" w:type="auto"/>
            <w:tcMar>
              <w:top w:w="80" w:type="dxa"/>
              <w:left w:w="120" w:type="dxa"/>
              <w:bottom w:w="80" w:type="dxa"/>
              <w:right w:w="120" w:type="dxa"/>
            </w:tcMar>
            <w:vAlign w:val="center"/>
          </w:tcPr>
          <w:p w14:paraId="44D8F7BB" w14:textId="77777777" w:rsidR="00552D6C" w:rsidRDefault="00300E5D">
            <w:pPr>
              <w:pStyle w:val="MdTableCell"/>
              <w:jc w:val="center"/>
            </w:pPr>
            <w:r>
              <w:t>8</w:t>
            </w:r>
          </w:p>
        </w:tc>
      </w:tr>
      <w:tr w:rsidR="00552D6C" w14:paraId="3090B59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D21896" w14:textId="77777777" w:rsidR="00552D6C" w:rsidRDefault="00300E5D">
            <w:pPr>
              <w:pStyle w:val="MdTableCell"/>
            </w:pPr>
            <w:r>
              <w:t>5. Infrastructure &amp; Technology</w:t>
            </w:r>
          </w:p>
        </w:tc>
        <w:tc>
          <w:tcPr>
            <w:tcW w:w="0" w:type="auto"/>
            <w:tcMar>
              <w:top w:w="80" w:type="dxa"/>
              <w:left w:w="120" w:type="dxa"/>
              <w:bottom w:w="80" w:type="dxa"/>
              <w:right w:w="120" w:type="dxa"/>
            </w:tcMar>
            <w:vAlign w:val="center"/>
          </w:tcPr>
          <w:p w14:paraId="4405E0DF" w14:textId="77777777" w:rsidR="00552D6C" w:rsidRDefault="00300E5D">
            <w:pPr>
              <w:pStyle w:val="MdTableCell"/>
              <w:jc w:val="center"/>
            </w:pPr>
            <w:r>
              <w:t>10</w:t>
            </w:r>
          </w:p>
        </w:tc>
      </w:tr>
      <w:tr w:rsidR="00552D6C" w14:paraId="40F2A11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921407" w14:textId="77777777" w:rsidR="00552D6C" w:rsidRDefault="00300E5D">
            <w:pPr>
              <w:pStyle w:val="MdTableCell"/>
            </w:pPr>
            <w:r>
              <w:t>6. Cybersecurity &amp; Compliance</w:t>
            </w:r>
          </w:p>
        </w:tc>
        <w:tc>
          <w:tcPr>
            <w:tcW w:w="0" w:type="auto"/>
            <w:tcMar>
              <w:top w:w="80" w:type="dxa"/>
              <w:left w:w="120" w:type="dxa"/>
              <w:bottom w:w="80" w:type="dxa"/>
              <w:right w:w="120" w:type="dxa"/>
            </w:tcMar>
            <w:vAlign w:val="center"/>
          </w:tcPr>
          <w:p w14:paraId="11172BA9" w14:textId="77777777" w:rsidR="00552D6C" w:rsidRDefault="00300E5D">
            <w:pPr>
              <w:pStyle w:val="MdTableCell"/>
              <w:jc w:val="center"/>
            </w:pPr>
            <w:r>
              <w:t>15</w:t>
            </w:r>
          </w:p>
        </w:tc>
      </w:tr>
      <w:tr w:rsidR="00552D6C" w14:paraId="0439A3F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1A35F6" w14:textId="77777777" w:rsidR="00552D6C" w:rsidRDefault="00300E5D">
            <w:pPr>
              <w:pStyle w:val="MdTableCell"/>
            </w:pPr>
            <w:r>
              <w:t>7. Organization &amp; Talent</w:t>
            </w:r>
          </w:p>
        </w:tc>
        <w:tc>
          <w:tcPr>
            <w:tcW w:w="0" w:type="auto"/>
            <w:tcMar>
              <w:top w:w="80" w:type="dxa"/>
              <w:left w:w="120" w:type="dxa"/>
              <w:bottom w:w="80" w:type="dxa"/>
              <w:right w:w="120" w:type="dxa"/>
            </w:tcMar>
            <w:vAlign w:val="center"/>
          </w:tcPr>
          <w:p w14:paraId="0394F2F7" w14:textId="77777777" w:rsidR="00552D6C" w:rsidRDefault="00300E5D">
            <w:pPr>
              <w:pStyle w:val="MdTableCell"/>
              <w:jc w:val="center"/>
            </w:pPr>
            <w:r>
              <w:t>10</w:t>
            </w:r>
          </w:p>
        </w:tc>
      </w:tr>
      <w:tr w:rsidR="00552D6C" w14:paraId="45F561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549B24" w14:textId="77777777" w:rsidR="00552D6C" w:rsidRDefault="00300E5D">
            <w:pPr>
              <w:pStyle w:val="MdTableCell"/>
            </w:pPr>
            <w:r>
              <w:t>8. Product &amp; Customer Experience</w:t>
            </w:r>
          </w:p>
        </w:tc>
        <w:tc>
          <w:tcPr>
            <w:tcW w:w="0" w:type="auto"/>
            <w:tcMar>
              <w:top w:w="80" w:type="dxa"/>
              <w:left w:w="120" w:type="dxa"/>
              <w:bottom w:w="80" w:type="dxa"/>
              <w:right w:w="120" w:type="dxa"/>
            </w:tcMar>
            <w:vAlign w:val="center"/>
          </w:tcPr>
          <w:p w14:paraId="72D08E70" w14:textId="77777777" w:rsidR="00552D6C" w:rsidRDefault="00300E5D">
            <w:pPr>
              <w:pStyle w:val="MdTableCell"/>
              <w:jc w:val="center"/>
            </w:pPr>
            <w:r>
              <w:t>10</w:t>
            </w:r>
          </w:p>
        </w:tc>
      </w:tr>
      <w:tr w:rsidR="00552D6C" w14:paraId="1D3E06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9C5EB1" w14:textId="77777777" w:rsidR="00552D6C" w:rsidRDefault="00300E5D">
            <w:pPr>
              <w:pStyle w:val="MdTableCell"/>
            </w:pPr>
            <w:r>
              <w:t>9. Data &amp; AI Readiness</w:t>
            </w:r>
          </w:p>
        </w:tc>
        <w:tc>
          <w:tcPr>
            <w:tcW w:w="0" w:type="auto"/>
            <w:tcMar>
              <w:top w:w="80" w:type="dxa"/>
              <w:left w:w="120" w:type="dxa"/>
              <w:bottom w:w="80" w:type="dxa"/>
              <w:right w:w="120" w:type="dxa"/>
            </w:tcMar>
            <w:vAlign w:val="center"/>
          </w:tcPr>
          <w:p w14:paraId="16E9AA7C" w14:textId="77777777" w:rsidR="00552D6C" w:rsidRDefault="00300E5D">
            <w:pPr>
              <w:pStyle w:val="MdTableCell"/>
              <w:jc w:val="center"/>
            </w:pPr>
            <w:r>
              <w:t>8</w:t>
            </w:r>
          </w:p>
        </w:tc>
      </w:tr>
      <w:tr w:rsidR="00552D6C" w14:paraId="0F2B542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F7A101C" w14:textId="77777777" w:rsidR="00552D6C" w:rsidRDefault="00300E5D">
            <w:pPr>
              <w:pStyle w:val="MdTableCell"/>
            </w:pPr>
            <w:r>
              <w:t>10. Third-Party &amp; Vendor Risk</w:t>
            </w:r>
          </w:p>
        </w:tc>
        <w:tc>
          <w:tcPr>
            <w:tcW w:w="0" w:type="auto"/>
            <w:tcMar>
              <w:top w:w="80" w:type="dxa"/>
              <w:left w:w="120" w:type="dxa"/>
              <w:bottom w:w="80" w:type="dxa"/>
              <w:right w:w="120" w:type="dxa"/>
            </w:tcMar>
            <w:vAlign w:val="center"/>
          </w:tcPr>
          <w:p w14:paraId="38C8ECA5" w14:textId="77777777" w:rsidR="00552D6C" w:rsidRDefault="00300E5D">
            <w:pPr>
              <w:pStyle w:val="MdTableCell"/>
              <w:jc w:val="center"/>
            </w:pPr>
            <w:r>
              <w:t>5</w:t>
            </w:r>
          </w:p>
        </w:tc>
      </w:tr>
      <w:tr w:rsidR="00552D6C" w14:paraId="597C364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4735D5" w14:textId="77777777" w:rsidR="00552D6C" w:rsidRDefault="00300E5D">
            <w:pPr>
              <w:pStyle w:val="MdTableCell"/>
            </w:pPr>
            <w:r>
              <w:t>11. Value Creation Potential</w:t>
            </w:r>
          </w:p>
        </w:tc>
        <w:tc>
          <w:tcPr>
            <w:tcW w:w="0" w:type="auto"/>
            <w:tcMar>
              <w:top w:w="80" w:type="dxa"/>
              <w:left w:w="120" w:type="dxa"/>
              <w:bottom w:w="80" w:type="dxa"/>
              <w:right w:w="120" w:type="dxa"/>
            </w:tcMar>
            <w:vAlign w:val="center"/>
          </w:tcPr>
          <w:p w14:paraId="22E8D691" w14:textId="77777777" w:rsidR="00552D6C" w:rsidRDefault="00300E5D">
            <w:pPr>
              <w:pStyle w:val="MdTableCell"/>
              <w:jc w:val="center"/>
            </w:pPr>
            <w:r>
              <w:t>8</w:t>
            </w:r>
          </w:p>
        </w:tc>
      </w:tr>
      <w:tr w:rsidR="00552D6C" w14:paraId="0D7BDBB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D3AB462" w14:textId="77777777" w:rsidR="00552D6C" w:rsidRDefault="00300E5D">
            <w:pPr>
              <w:pStyle w:val="MdTableCell"/>
            </w:pPr>
            <w:r>
              <w:rPr>
                <w:rStyle w:val="MdStrong"/>
              </w:rPr>
              <w:t>Total</w:t>
            </w:r>
          </w:p>
        </w:tc>
        <w:tc>
          <w:tcPr>
            <w:tcW w:w="0" w:type="auto"/>
            <w:tcBorders>
              <w:bottom w:val="single" w:sz="4" w:space="0" w:color="E1E4E8"/>
            </w:tcBorders>
            <w:tcMar>
              <w:top w:w="80" w:type="dxa"/>
              <w:left w:w="120" w:type="dxa"/>
              <w:bottom w:w="80" w:type="dxa"/>
              <w:right w:w="120" w:type="dxa"/>
            </w:tcMar>
            <w:vAlign w:val="center"/>
          </w:tcPr>
          <w:p w14:paraId="2026D9BD" w14:textId="77777777" w:rsidR="00552D6C" w:rsidRDefault="00300E5D">
            <w:pPr>
              <w:pStyle w:val="MdTableCell"/>
              <w:jc w:val="center"/>
            </w:pPr>
            <w:r>
              <w:rPr>
                <w:rStyle w:val="MdStrong"/>
              </w:rPr>
              <w:t>100</w:t>
            </w:r>
          </w:p>
        </w:tc>
      </w:tr>
    </w:tbl>
    <w:p w14:paraId="63A99E5A" w14:textId="77777777" w:rsidR="00552D6C" w:rsidRDefault="00552D6C">
      <w:pPr>
        <w:pStyle w:val="MdHr"/>
        <w:pBdr>
          <w:bottom w:val="single" w:sz="6" w:space="1" w:color="auto"/>
        </w:pBdr>
      </w:pPr>
    </w:p>
    <w:p w14:paraId="7D2CC17A" w14:textId="77777777" w:rsidR="00552D6C" w:rsidRDefault="00552D6C">
      <w:pPr>
        <w:pStyle w:val="MdSpace"/>
        <w:spacing w:after="60"/>
      </w:pPr>
    </w:p>
    <w:p w14:paraId="39075CE8" w14:textId="77777777" w:rsidR="00552D6C" w:rsidRDefault="00300E5D">
      <w:pPr>
        <w:pStyle w:val="MdHeading2"/>
      </w:pPr>
      <w:r>
        <w:lastRenderedPageBreak/>
        <w:t>Sample Signals by Lens</w:t>
      </w:r>
    </w:p>
    <w:p w14:paraId="6A840639" w14:textId="77777777" w:rsidR="00552D6C" w:rsidRDefault="00300E5D">
      <w:pPr>
        <w:pStyle w:val="MdParagraph"/>
      </w:pPr>
      <w:r>
        <w:t>The following sections provide a sample of the signals defined for each lens. A complete Signal Dictionary is provided as a separate attachment.</w:t>
      </w:r>
    </w:p>
    <w:p w14:paraId="65EF9FA8" w14:textId="77777777" w:rsidR="00552D6C" w:rsidRDefault="00552D6C">
      <w:pPr>
        <w:pStyle w:val="MdSpace"/>
        <w:spacing w:after="60"/>
      </w:pPr>
    </w:p>
    <w:p w14:paraId="34CCDFE6" w14:textId="77777777" w:rsidR="00552D6C" w:rsidRDefault="00300E5D">
      <w:pPr>
        <w:pStyle w:val="MdHeading3"/>
      </w:pPr>
      <w:r>
        <w:t>Lens 2: Technology &amp; Architecture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75"/>
        <w:gridCol w:w="3811"/>
        <w:gridCol w:w="3340"/>
      </w:tblGrid>
      <w:tr w:rsidR="00552D6C" w14:paraId="50D52D3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2B65BAA" w14:textId="77777777" w:rsidR="00552D6C" w:rsidRDefault="00300E5D">
            <w:pPr>
              <w:pStyle w:val="MdTableHeader"/>
            </w:pPr>
            <w:r>
              <w:t>Signal ID</w:t>
            </w:r>
          </w:p>
        </w:tc>
        <w:tc>
          <w:tcPr>
            <w:tcW w:w="0" w:type="auto"/>
            <w:tcMar>
              <w:top w:w="100" w:type="dxa"/>
              <w:left w:w="120" w:type="dxa"/>
              <w:bottom w:w="100" w:type="dxa"/>
              <w:right w:w="120" w:type="dxa"/>
            </w:tcMar>
            <w:vAlign w:val="center"/>
          </w:tcPr>
          <w:p w14:paraId="18E74BD2" w14:textId="77777777" w:rsidR="00552D6C" w:rsidRDefault="00300E5D">
            <w:pPr>
              <w:pStyle w:val="MdTableHeader"/>
            </w:pPr>
            <w:r>
              <w:t>Signal Name</w:t>
            </w:r>
          </w:p>
        </w:tc>
        <w:tc>
          <w:tcPr>
            <w:tcW w:w="0" w:type="auto"/>
            <w:tcMar>
              <w:top w:w="100" w:type="dxa"/>
              <w:left w:w="120" w:type="dxa"/>
              <w:bottom w:w="100" w:type="dxa"/>
              <w:right w:w="120" w:type="dxa"/>
            </w:tcMar>
            <w:vAlign w:val="center"/>
          </w:tcPr>
          <w:p w14:paraId="7C548091" w14:textId="77777777" w:rsidR="00552D6C" w:rsidRDefault="00300E5D">
            <w:pPr>
              <w:pStyle w:val="MdTableHeader"/>
              <w:jc w:val="center"/>
            </w:pPr>
            <w:r>
              <w:t>Conviction Weight</w:t>
            </w:r>
          </w:p>
        </w:tc>
      </w:tr>
      <w:tr w:rsidR="00552D6C" w14:paraId="1AAD1A7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357306" w14:textId="77777777" w:rsidR="00552D6C" w:rsidRDefault="00300E5D">
            <w:pPr>
              <w:pStyle w:val="MdTableCell"/>
            </w:pPr>
            <w:r>
              <w:t>TA-01</w:t>
            </w:r>
          </w:p>
        </w:tc>
        <w:tc>
          <w:tcPr>
            <w:tcW w:w="0" w:type="auto"/>
            <w:tcMar>
              <w:top w:w="80" w:type="dxa"/>
              <w:left w:w="120" w:type="dxa"/>
              <w:bottom w:w="80" w:type="dxa"/>
              <w:right w:w="120" w:type="dxa"/>
            </w:tcMar>
            <w:vAlign w:val="center"/>
          </w:tcPr>
          <w:p w14:paraId="268A7C4E" w14:textId="77777777" w:rsidR="00552D6C" w:rsidRDefault="00300E5D">
            <w:pPr>
              <w:pStyle w:val="MdTableCell"/>
            </w:pPr>
            <w:r>
              <w:t>Cyclomatic Complexity</w:t>
            </w:r>
          </w:p>
        </w:tc>
        <w:tc>
          <w:tcPr>
            <w:tcW w:w="0" w:type="auto"/>
            <w:tcMar>
              <w:top w:w="80" w:type="dxa"/>
              <w:left w:w="120" w:type="dxa"/>
              <w:bottom w:w="80" w:type="dxa"/>
              <w:right w:w="120" w:type="dxa"/>
            </w:tcMar>
            <w:vAlign w:val="center"/>
          </w:tcPr>
          <w:p w14:paraId="29CF8EFC" w14:textId="77777777" w:rsidR="00552D6C" w:rsidRDefault="00300E5D">
            <w:pPr>
              <w:pStyle w:val="MdTableCell"/>
              <w:jc w:val="center"/>
            </w:pPr>
            <w:r>
              <w:t>Medium</w:t>
            </w:r>
          </w:p>
        </w:tc>
      </w:tr>
      <w:tr w:rsidR="00552D6C" w14:paraId="5E0FF1B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DBF9B3" w14:textId="77777777" w:rsidR="00552D6C" w:rsidRDefault="00300E5D">
            <w:pPr>
              <w:pStyle w:val="MdTableCell"/>
            </w:pPr>
            <w:r>
              <w:t>TA-02</w:t>
            </w:r>
          </w:p>
        </w:tc>
        <w:tc>
          <w:tcPr>
            <w:tcW w:w="0" w:type="auto"/>
            <w:tcMar>
              <w:top w:w="80" w:type="dxa"/>
              <w:left w:w="120" w:type="dxa"/>
              <w:bottom w:w="80" w:type="dxa"/>
              <w:right w:w="120" w:type="dxa"/>
            </w:tcMar>
            <w:vAlign w:val="center"/>
          </w:tcPr>
          <w:p w14:paraId="7B073F03" w14:textId="77777777" w:rsidR="00552D6C" w:rsidRDefault="00300E5D">
            <w:pPr>
              <w:pStyle w:val="MdTableCell"/>
            </w:pPr>
            <w:r>
              <w:t>Technical Debt Ratio</w:t>
            </w:r>
          </w:p>
        </w:tc>
        <w:tc>
          <w:tcPr>
            <w:tcW w:w="0" w:type="auto"/>
            <w:tcMar>
              <w:top w:w="80" w:type="dxa"/>
              <w:left w:w="120" w:type="dxa"/>
              <w:bottom w:w="80" w:type="dxa"/>
              <w:right w:w="120" w:type="dxa"/>
            </w:tcMar>
            <w:vAlign w:val="center"/>
          </w:tcPr>
          <w:p w14:paraId="60094103" w14:textId="77777777" w:rsidR="00552D6C" w:rsidRDefault="00300E5D">
            <w:pPr>
              <w:pStyle w:val="MdTableCell"/>
              <w:jc w:val="center"/>
            </w:pPr>
            <w:r>
              <w:t>Medium</w:t>
            </w:r>
          </w:p>
        </w:tc>
      </w:tr>
      <w:tr w:rsidR="00552D6C" w14:paraId="08888A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4B913AF" w14:textId="77777777" w:rsidR="00552D6C" w:rsidRDefault="00300E5D">
            <w:pPr>
              <w:pStyle w:val="MdTableCell"/>
            </w:pPr>
            <w:r>
              <w:t>TA-04</w:t>
            </w:r>
          </w:p>
        </w:tc>
        <w:tc>
          <w:tcPr>
            <w:tcW w:w="0" w:type="auto"/>
            <w:tcMar>
              <w:top w:w="80" w:type="dxa"/>
              <w:left w:w="120" w:type="dxa"/>
              <w:bottom w:w="80" w:type="dxa"/>
              <w:right w:w="120" w:type="dxa"/>
            </w:tcMar>
            <w:vAlign w:val="center"/>
          </w:tcPr>
          <w:p w14:paraId="6B34F35E" w14:textId="77777777" w:rsidR="00552D6C" w:rsidRDefault="00300E5D">
            <w:pPr>
              <w:pStyle w:val="MdTableCell"/>
            </w:pPr>
            <w:r>
              <w:t>API Health &amp; Versioning</w:t>
            </w:r>
          </w:p>
        </w:tc>
        <w:tc>
          <w:tcPr>
            <w:tcW w:w="0" w:type="auto"/>
            <w:tcMar>
              <w:top w:w="80" w:type="dxa"/>
              <w:left w:w="120" w:type="dxa"/>
              <w:bottom w:w="80" w:type="dxa"/>
              <w:right w:w="120" w:type="dxa"/>
            </w:tcMar>
            <w:vAlign w:val="center"/>
          </w:tcPr>
          <w:p w14:paraId="69695256" w14:textId="77777777" w:rsidR="00552D6C" w:rsidRDefault="00300E5D">
            <w:pPr>
              <w:pStyle w:val="MdTableCell"/>
              <w:jc w:val="center"/>
            </w:pPr>
            <w:r>
              <w:t>High</w:t>
            </w:r>
          </w:p>
        </w:tc>
      </w:tr>
      <w:tr w:rsidR="00552D6C" w14:paraId="0EEBEE0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9317C9B" w14:textId="77777777" w:rsidR="00552D6C" w:rsidRDefault="00300E5D">
            <w:pPr>
              <w:pStyle w:val="MdTableCell"/>
            </w:pPr>
            <w:r>
              <w:t>TA-05</w:t>
            </w:r>
          </w:p>
        </w:tc>
        <w:tc>
          <w:tcPr>
            <w:tcW w:w="0" w:type="auto"/>
            <w:tcBorders>
              <w:bottom w:val="single" w:sz="4" w:space="0" w:color="E1E4E8"/>
            </w:tcBorders>
            <w:tcMar>
              <w:top w:w="80" w:type="dxa"/>
              <w:left w:w="120" w:type="dxa"/>
              <w:bottom w:w="80" w:type="dxa"/>
              <w:right w:w="120" w:type="dxa"/>
            </w:tcMar>
            <w:vAlign w:val="center"/>
          </w:tcPr>
          <w:p w14:paraId="7A86508C" w14:textId="77777777" w:rsidR="00552D6C" w:rsidRDefault="00300E5D">
            <w:pPr>
              <w:pStyle w:val="MdTableCell"/>
            </w:pPr>
            <w:r>
              <w:t>Hotspot Risk Score</w:t>
            </w:r>
          </w:p>
        </w:tc>
        <w:tc>
          <w:tcPr>
            <w:tcW w:w="0" w:type="auto"/>
            <w:tcBorders>
              <w:bottom w:val="single" w:sz="4" w:space="0" w:color="E1E4E8"/>
            </w:tcBorders>
            <w:tcMar>
              <w:top w:w="80" w:type="dxa"/>
              <w:left w:w="120" w:type="dxa"/>
              <w:bottom w:w="80" w:type="dxa"/>
              <w:right w:w="120" w:type="dxa"/>
            </w:tcMar>
            <w:vAlign w:val="center"/>
          </w:tcPr>
          <w:p w14:paraId="0DCD1003" w14:textId="77777777" w:rsidR="00552D6C" w:rsidRDefault="00300E5D">
            <w:pPr>
              <w:pStyle w:val="MdTableCell"/>
              <w:jc w:val="center"/>
            </w:pPr>
            <w:r>
              <w:t>High</w:t>
            </w:r>
          </w:p>
        </w:tc>
      </w:tr>
    </w:tbl>
    <w:p w14:paraId="0C173918" w14:textId="77777777" w:rsidR="00552D6C" w:rsidRDefault="00300E5D">
      <w:pPr>
        <w:pStyle w:val="MdHeading3"/>
      </w:pPr>
      <w:r>
        <w:t>Lens 3: Engineering &amp; Delivery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97"/>
        <w:gridCol w:w="3751"/>
        <w:gridCol w:w="3378"/>
      </w:tblGrid>
      <w:tr w:rsidR="00552D6C" w14:paraId="20EBA9A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1F60A2F" w14:textId="77777777" w:rsidR="00552D6C" w:rsidRDefault="00300E5D">
            <w:pPr>
              <w:pStyle w:val="MdTableHeader"/>
            </w:pPr>
            <w:r>
              <w:t>Signal ID</w:t>
            </w:r>
          </w:p>
        </w:tc>
        <w:tc>
          <w:tcPr>
            <w:tcW w:w="0" w:type="auto"/>
            <w:tcMar>
              <w:top w:w="100" w:type="dxa"/>
              <w:left w:w="120" w:type="dxa"/>
              <w:bottom w:w="100" w:type="dxa"/>
              <w:right w:w="120" w:type="dxa"/>
            </w:tcMar>
            <w:vAlign w:val="center"/>
          </w:tcPr>
          <w:p w14:paraId="06F19D52" w14:textId="77777777" w:rsidR="00552D6C" w:rsidRDefault="00300E5D">
            <w:pPr>
              <w:pStyle w:val="MdTableHeader"/>
            </w:pPr>
            <w:r>
              <w:t>Signal Name</w:t>
            </w:r>
          </w:p>
        </w:tc>
        <w:tc>
          <w:tcPr>
            <w:tcW w:w="0" w:type="auto"/>
            <w:tcMar>
              <w:top w:w="100" w:type="dxa"/>
              <w:left w:w="120" w:type="dxa"/>
              <w:bottom w:w="100" w:type="dxa"/>
              <w:right w:w="120" w:type="dxa"/>
            </w:tcMar>
            <w:vAlign w:val="center"/>
          </w:tcPr>
          <w:p w14:paraId="7E2D0A28" w14:textId="77777777" w:rsidR="00552D6C" w:rsidRDefault="00300E5D">
            <w:pPr>
              <w:pStyle w:val="MdTableHeader"/>
              <w:jc w:val="center"/>
            </w:pPr>
            <w:r>
              <w:t>Conviction Weight</w:t>
            </w:r>
          </w:p>
        </w:tc>
      </w:tr>
      <w:tr w:rsidR="00552D6C" w14:paraId="7F3AE99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D82EBB" w14:textId="77777777" w:rsidR="00552D6C" w:rsidRDefault="00300E5D">
            <w:pPr>
              <w:pStyle w:val="MdTableCell"/>
            </w:pPr>
            <w:r>
              <w:t>ED-01</w:t>
            </w:r>
          </w:p>
        </w:tc>
        <w:tc>
          <w:tcPr>
            <w:tcW w:w="0" w:type="auto"/>
            <w:tcMar>
              <w:top w:w="80" w:type="dxa"/>
              <w:left w:w="120" w:type="dxa"/>
              <w:bottom w:w="80" w:type="dxa"/>
              <w:right w:w="120" w:type="dxa"/>
            </w:tcMar>
            <w:vAlign w:val="center"/>
          </w:tcPr>
          <w:p w14:paraId="7F858536" w14:textId="77777777" w:rsidR="00552D6C" w:rsidRDefault="00300E5D">
            <w:pPr>
              <w:pStyle w:val="MdTableCell"/>
            </w:pPr>
            <w:r>
              <w:t>Code Churn</w:t>
            </w:r>
          </w:p>
        </w:tc>
        <w:tc>
          <w:tcPr>
            <w:tcW w:w="0" w:type="auto"/>
            <w:tcMar>
              <w:top w:w="80" w:type="dxa"/>
              <w:left w:w="120" w:type="dxa"/>
              <w:bottom w:w="80" w:type="dxa"/>
              <w:right w:w="120" w:type="dxa"/>
            </w:tcMar>
            <w:vAlign w:val="center"/>
          </w:tcPr>
          <w:p w14:paraId="40545B2F" w14:textId="77777777" w:rsidR="00552D6C" w:rsidRDefault="00300E5D">
            <w:pPr>
              <w:pStyle w:val="MdTableCell"/>
              <w:jc w:val="center"/>
            </w:pPr>
            <w:r>
              <w:t>High</w:t>
            </w:r>
          </w:p>
        </w:tc>
      </w:tr>
      <w:tr w:rsidR="00552D6C" w14:paraId="07247DD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1F7B88" w14:textId="77777777" w:rsidR="00552D6C" w:rsidRDefault="00300E5D">
            <w:pPr>
              <w:pStyle w:val="MdTableCell"/>
            </w:pPr>
            <w:r>
              <w:t>ED-03</w:t>
            </w:r>
          </w:p>
        </w:tc>
        <w:tc>
          <w:tcPr>
            <w:tcW w:w="0" w:type="auto"/>
            <w:tcMar>
              <w:top w:w="80" w:type="dxa"/>
              <w:left w:w="120" w:type="dxa"/>
              <w:bottom w:w="80" w:type="dxa"/>
              <w:right w:w="120" w:type="dxa"/>
            </w:tcMar>
            <w:vAlign w:val="center"/>
          </w:tcPr>
          <w:p w14:paraId="5CD2BCB0" w14:textId="77777777" w:rsidR="00552D6C" w:rsidRDefault="00300E5D">
            <w:pPr>
              <w:pStyle w:val="MdTableCell"/>
            </w:pPr>
            <w:r>
              <w:t>Defect Density</w:t>
            </w:r>
          </w:p>
        </w:tc>
        <w:tc>
          <w:tcPr>
            <w:tcW w:w="0" w:type="auto"/>
            <w:tcMar>
              <w:top w:w="80" w:type="dxa"/>
              <w:left w:w="120" w:type="dxa"/>
              <w:bottom w:w="80" w:type="dxa"/>
              <w:right w:w="120" w:type="dxa"/>
            </w:tcMar>
            <w:vAlign w:val="center"/>
          </w:tcPr>
          <w:p w14:paraId="1B9D9331" w14:textId="77777777" w:rsidR="00552D6C" w:rsidRDefault="00300E5D">
            <w:pPr>
              <w:pStyle w:val="MdTableCell"/>
              <w:jc w:val="center"/>
            </w:pPr>
            <w:r>
              <w:t>High</w:t>
            </w:r>
          </w:p>
        </w:tc>
      </w:tr>
      <w:tr w:rsidR="00552D6C" w14:paraId="3031BA7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DFB8B8D" w14:textId="77777777" w:rsidR="00552D6C" w:rsidRDefault="00300E5D">
            <w:pPr>
              <w:pStyle w:val="MdTableCell"/>
            </w:pPr>
            <w:r>
              <w:t>ED-05</w:t>
            </w:r>
          </w:p>
        </w:tc>
        <w:tc>
          <w:tcPr>
            <w:tcW w:w="0" w:type="auto"/>
            <w:tcBorders>
              <w:bottom w:val="single" w:sz="4" w:space="0" w:color="E1E4E8"/>
            </w:tcBorders>
            <w:tcMar>
              <w:top w:w="80" w:type="dxa"/>
              <w:left w:w="120" w:type="dxa"/>
              <w:bottom w:w="80" w:type="dxa"/>
              <w:right w:w="120" w:type="dxa"/>
            </w:tcMar>
            <w:vAlign w:val="center"/>
          </w:tcPr>
          <w:p w14:paraId="562564C8" w14:textId="77777777" w:rsidR="00552D6C" w:rsidRDefault="00300E5D">
            <w:pPr>
              <w:pStyle w:val="MdTableCell"/>
            </w:pPr>
            <w:r>
              <w:t>CI/CD Pipeline Maturity</w:t>
            </w:r>
          </w:p>
        </w:tc>
        <w:tc>
          <w:tcPr>
            <w:tcW w:w="0" w:type="auto"/>
            <w:tcBorders>
              <w:bottom w:val="single" w:sz="4" w:space="0" w:color="E1E4E8"/>
            </w:tcBorders>
            <w:tcMar>
              <w:top w:w="80" w:type="dxa"/>
              <w:left w:w="120" w:type="dxa"/>
              <w:bottom w:w="80" w:type="dxa"/>
              <w:right w:w="120" w:type="dxa"/>
            </w:tcMar>
            <w:vAlign w:val="center"/>
          </w:tcPr>
          <w:p w14:paraId="73982E36" w14:textId="77777777" w:rsidR="00552D6C" w:rsidRDefault="00300E5D">
            <w:pPr>
              <w:pStyle w:val="MdTableCell"/>
              <w:jc w:val="center"/>
            </w:pPr>
            <w:r>
              <w:t>High</w:t>
            </w:r>
          </w:p>
        </w:tc>
      </w:tr>
    </w:tbl>
    <w:p w14:paraId="7ECC2466" w14:textId="77777777" w:rsidR="00552D6C" w:rsidRDefault="00300E5D">
      <w:pPr>
        <w:pStyle w:val="MdHeading3"/>
      </w:pPr>
      <w:r>
        <w:t>Lens 6: Cybersecurity &amp; Compliance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11"/>
        <w:gridCol w:w="4823"/>
        <w:gridCol w:w="2692"/>
      </w:tblGrid>
      <w:tr w:rsidR="00552D6C" w14:paraId="54EE01C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89D58D5" w14:textId="77777777" w:rsidR="00552D6C" w:rsidRDefault="00300E5D">
            <w:pPr>
              <w:pStyle w:val="MdTableHeader"/>
            </w:pPr>
            <w:r>
              <w:t>Signal ID</w:t>
            </w:r>
          </w:p>
        </w:tc>
        <w:tc>
          <w:tcPr>
            <w:tcW w:w="0" w:type="auto"/>
            <w:tcMar>
              <w:top w:w="100" w:type="dxa"/>
              <w:left w:w="120" w:type="dxa"/>
              <w:bottom w:w="100" w:type="dxa"/>
              <w:right w:w="120" w:type="dxa"/>
            </w:tcMar>
            <w:vAlign w:val="center"/>
          </w:tcPr>
          <w:p w14:paraId="4765E647" w14:textId="77777777" w:rsidR="00552D6C" w:rsidRDefault="00300E5D">
            <w:pPr>
              <w:pStyle w:val="MdTableHeader"/>
            </w:pPr>
            <w:r>
              <w:t>Signal Name</w:t>
            </w:r>
          </w:p>
        </w:tc>
        <w:tc>
          <w:tcPr>
            <w:tcW w:w="0" w:type="auto"/>
            <w:tcMar>
              <w:top w:w="100" w:type="dxa"/>
              <w:left w:w="120" w:type="dxa"/>
              <w:bottom w:w="100" w:type="dxa"/>
              <w:right w:w="120" w:type="dxa"/>
            </w:tcMar>
            <w:vAlign w:val="center"/>
          </w:tcPr>
          <w:p w14:paraId="2B401839" w14:textId="77777777" w:rsidR="00552D6C" w:rsidRDefault="00300E5D">
            <w:pPr>
              <w:pStyle w:val="MdTableHeader"/>
              <w:jc w:val="center"/>
            </w:pPr>
            <w:r>
              <w:t>Conviction Weight</w:t>
            </w:r>
          </w:p>
        </w:tc>
      </w:tr>
      <w:tr w:rsidR="00552D6C" w14:paraId="7D699A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C7C6B3" w14:textId="77777777" w:rsidR="00552D6C" w:rsidRDefault="00300E5D">
            <w:pPr>
              <w:pStyle w:val="MdTableCell"/>
            </w:pPr>
            <w:r>
              <w:t>CC-01</w:t>
            </w:r>
          </w:p>
        </w:tc>
        <w:tc>
          <w:tcPr>
            <w:tcW w:w="0" w:type="auto"/>
            <w:tcMar>
              <w:top w:w="80" w:type="dxa"/>
              <w:left w:w="120" w:type="dxa"/>
              <w:bottom w:w="80" w:type="dxa"/>
              <w:right w:w="120" w:type="dxa"/>
            </w:tcMar>
            <w:vAlign w:val="center"/>
          </w:tcPr>
          <w:p w14:paraId="101EA7D5" w14:textId="77777777" w:rsidR="00552D6C" w:rsidRDefault="00300E5D">
            <w:pPr>
              <w:pStyle w:val="MdTableCell"/>
            </w:pPr>
            <w:r>
              <w:t>Vulnerability Density</w:t>
            </w:r>
          </w:p>
        </w:tc>
        <w:tc>
          <w:tcPr>
            <w:tcW w:w="0" w:type="auto"/>
            <w:tcMar>
              <w:top w:w="80" w:type="dxa"/>
              <w:left w:w="120" w:type="dxa"/>
              <w:bottom w:w="80" w:type="dxa"/>
              <w:right w:w="120" w:type="dxa"/>
            </w:tcMar>
            <w:vAlign w:val="center"/>
          </w:tcPr>
          <w:p w14:paraId="031951F3" w14:textId="77777777" w:rsidR="00552D6C" w:rsidRDefault="00300E5D">
            <w:pPr>
              <w:pStyle w:val="MdTableCell"/>
              <w:jc w:val="center"/>
            </w:pPr>
            <w:r>
              <w:t>High</w:t>
            </w:r>
          </w:p>
        </w:tc>
      </w:tr>
      <w:tr w:rsidR="00552D6C" w14:paraId="65715F1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74FE504" w14:textId="77777777" w:rsidR="00552D6C" w:rsidRDefault="00300E5D">
            <w:pPr>
              <w:pStyle w:val="MdTableCell"/>
            </w:pPr>
            <w:r>
              <w:t>CC-02</w:t>
            </w:r>
          </w:p>
        </w:tc>
        <w:tc>
          <w:tcPr>
            <w:tcW w:w="0" w:type="auto"/>
            <w:tcMar>
              <w:top w:w="80" w:type="dxa"/>
              <w:left w:w="120" w:type="dxa"/>
              <w:bottom w:w="80" w:type="dxa"/>
              <w:right w:w="120" w:type="dxa"/>
            </w:tcMar>
            <w:vAlign w:val="center"/>
          </w:tcPr>
          <w:p w14:paraId="2F11B1C8" w14:textId="77777777" w:rsidR="00552D6C" w:rsidRDefault="00300E5D">
            <w:pPr>
              <w:pStyle w:val="MdTableCell"/>
            </w:pPr>
            <w:r>
              <w:t>Patch Latency</w:t>
            </w:r>
          </w:p>
        </w:tc>
        <w:tc>
          <w:tcPr>
            <w:tcW w:w="0" w:type="auto"/>
            <w:tcMar>
              <w:top w:w="80" w:type="dxa"/>
              <w:left w:w="120" w:type="dxa"/>
              <w:bottom w:w="80" w:type="dxa"/>
              <w:right w:w="120" w:type="dxa"/>
            </w:tcMar>
            <w:vAlign w:val="center"/>
          </w:tcPr>
          <w:p w14:paraId="54DE0BA3" w14:textId="77777777" w:rsidR="00552D6C" w:rsidRDefault="00300E5D">
            <w:pPr>
              <w:pStyle w:val="MdTableCell"/>
              <w:jc w:val="center"/>
            </w:pPr>
            <w:r>
              <w:t>High</w:t>
            </w:r>
          </w:p>
        </w:tc>
      </w:tr>
      <w:tr w:rsidR="00552D6C" w14:paraId="43971F5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9596D90" w14:textId="77777777" w:rsidR="00552D6C" w:rsidRDefault="00300E5D">
            <w:pPr>
              <w:pStyle w:val="MdTableCell"/>
            </w:pPr>
            <w:r>
              <w:lastRenderedPageBreak/>
              <w:t>CC-05</w:t>
            </w:r>
          </w:p>
        </w:tc>
        <w:tc>
          <w:tcPr>
            <w:tcW w:w="0" w:type="auto"/>
            <w:tcBorders>
              <w:bottom w:val="single" w:sz="4" w:space="0" w:color="E1E4E8"/>
            </w:tcBorders>
            <w:tcMar>
              <w:top w:w="80" w:type="dxa"/>
              <w:left w:w="120" w:type="dxa"/>
              <w:bottom w:w="80" w:type="dxa"/>
              <w:right w:w="120" w:type="dxa"/>
            </w:tcMar>
            <w:vAlign w:val="center"/>
          </w:tcPr>
          <w:p w14:paraId="06CD0B5A" w14:textId="77777777" w:rsidR="00552D6C" w:rsidRDefault="00300E5D">
            <w:pPr>
              <w:pStyle w:val="MdTableCell"/>
            </w:pPr>
            <w:r>
              <w:t>Compliance Posture (SOC 2, GDPR, etc.)</w:t>
            </w:r>
          </w:p>
        </w:tc>
        <w:tc>
          <w:tcPr>
            <w:tcW w:w="0" w:type="auto"/>
            <w:tcBorders>
              <w:bottom w:val="single" w:sz="4" w:space="0" w:color="E1E4E8"/>
            </w:tcBorders>
            <w:tcMar>
              <w:top w:w="80" w:type="dxa"/>
              <w:left w:w="120" w:type="dxa"/>
              <w:bottom w:w="80" w:type="dxa"/>
              <w:right w:w="120" w:type="dxa"/>
            </w:tcMar>
            <w:vAlign w:val="center"/>
          </w:tcPr>
          <w:p w14:paraId="03392D9A" w14:textId="77777777" w:rsidR="00552D6C" w:rsidRDefault="00300E5D">
            <w:pPr>
              <w:pStyle w:val="MdTableCell"/>
              <w:jc w:val="center"/>
            </w:pPr>
            <w:r>
              <w:t>High</w:t>
            </w:r>
          </w:p>
        </w:tc>
      </w:tr>
    </w:tbl>
    <w:p w14:paraId="179B62B9" w14:textId="77777777" w:rsidR="00552D6C" w:rsidRDefault="00300E5D">
      <w:pPr>
        <w:pStyle w:val="MdHeading3"/>
      </w:pPr>
      <w:r>
        <w:t>Lens 7: Organization &amp; Talent</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03"/>
        <w:gridCol w:w="4568"/>
        <w:gridCol w:w="2855"/>
      </w:tblGrid>
      <w:tr w:rsidR="00552D6C" w14:paraId="6068CE8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F270A34" w14:textId="77777777" w:rsidR="00552D6C" w:rsidRDefault="00300E5D">
            <w:pPr>
              <w:pStyle w:val="MdTableHeader"/>
            </w:pPr>
            <w:r>
              <w:t>Signal ID</w:t>
            </w:r>
          </w:p>
        </w:tc>
        <w:tc>
          <w:tcPr>
            <w:tcW w:w="0" w:type="auto"/>
            <w:tcMar>
              <w:top w:w="100" w:type="dxa"/>
              <w:left w:w="120" w:type="dxa"/>
              <w:bottom w:w="100" w:type="dxa"/>
              <w:right w:w="120" w:type="dxa"/>
            </w:tcMar>
            <w:vAlign w:val="center"/>
          </w:tcPr>
          <w:p w14:paraId="57BF532B" w14:textId="77777777" w:rsidR="00552D6C" w:rsidRDefault="00300E5D">
            <w:pPr>
              <w:pStyle w:val="MdTableHeader"/>
            </w:pPr>
            <w:r>
              <w:t>Signal Name</w:t>
            </w:r>
          </w:p>
        </w:tc>
        <w:tc>
          <w:tcPr>
            <w:tcW w:w="0" w:type="auto"/>
            <w:tcMar>
              <w:top w:w="100" w:type="dxa"/>
              <w:left w:w="120" w:type="dxa"/>
              <w:bottom w:w="100" w:type="dxa"/>
              <w:right w:w="120" w:type="dxa"/>
            </w:tcMar>
            <w:vAlign w:val="center"/>
          </w:tcPr>
          <w:p w14:paraId="61E67023" w14:textId="77777777" w:rsidR="00552D6C" w:rsidRDefault="00300E5D">
            <w:pPr>
              <w:pStyle w:val="MdTableHeader"/>
              <w:jc w:val="center"/>
            </w:pPr>
            <w:r>
              <w:t>Conviction Weight</w:t>
            </w:r>
          </w:p>
        </w:tc>
      </w:tr>
      <w:tr w:rsidR="00552D6C" w14:paraId="39947A2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C8B6EA" w14:textId="77777777" w:rsidR="00552D6C" w:rsidRDefault="00300E5D">
            <w:pPr>
              <w:pStyle w:val="MdTableCell"/>
            </w:pPr>
            <w:r>
              <w:t>OT-01</w:t>
            </w:r>
          </w:p>
        </w:tc>
        <w:tc>
          <w:tcPr>
            <w:tcW w:w="0" w:type="auto"/>
            <w:tcMar>
              <w:top w:w="80" w:type="dxa"/>
              <w:left w:w="120" w:type="dxa"/>
              <w:bottom w:w="80" w:type="dxa"/>
              <w:right w:w="120" w:type="dxa"/>
            </w:tcMar>
            <w:vAlign w:val="center"/>
          </w:tcPr>
          <w:p w14:paraId="421DF19F" w14:textId="77777777" w:rsidR="00552D6C" w:rsidRDefault="00300E5D">
            <w:pPr>
              <w:pStyle w:val="MdTableCell"/>
            </w:pPr>
            <w:r>
              <w:t>Developer Turnover Rate</w:t>
            </w:r>
          </w:p>
        </w:tc>
        <w:tc>
          <w:tcPr>
            <w:tcW w:w="0" w:type="auto"/>
            <w:tcMar>
              <w:top w:w="80" w:type="dxa"/>
              <w:left w:w="120" w:type="dxa"/>
              <w:bottom w:w="80" w:type="dxa"/>
              <w:right w:w="120" w:type="dxa"/>
            </w:tcMar>
            <w:vAlign w:val="center"/>
          </w:tcPr>
          <w:p w14:paraId="11CB2699" w14:textId="77777777" w:rsidR="00552D6C" w:rsidRDefault="00300E5D">
            <w:pPr>
              <w:pStyle w:val="MdTableCell"/>
              <w:jc w:val="center"/>
            </w:pPr>
            <w:r>
              <w:t>High</w:t>
            </w:r>
          </w:p>
        </w:tc>
      </w:tr>
      <w:tr w:rsidR="00552D6C" w14:paraId="018E858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1ED0FC" w14:textId="77777777" w:rsidR="00552D6C" w:rsidRDefault="00300E5D">
            <w:pPr>
              <w:pStyle w:val="MdTableCell"/>
            </w:pPr>
            <w:r>
              <w:t>OT-03</w:t>
            </w:r>
          </w:p>
        </w:tc>
        <w:tc>
          <w:tcPr>
            <w:tcW w:w="0" w:type="auto"/>
            <w:tcMar>
              <w:top w:w="80" w:type="dxa"/>
              <w:left w:w="120" w:type="dxa"/>
              <w:bottom w:w="80" w:type="dxa"/>
              <w:right w:w="120" w:type="dxa"/>
            </w:tcMar>
            <w:vAlign w:val="center"/>
          </w:tcPr>
          <w:p w14:paraId="09440A79" w14:textId="77777777" w:rsidR="00552D6C" w:rsidRDefault="00300E5D">
            <w:pPr>
              <w:pStyle w:val="MdTableCell"/>
            </w:pPr>
            <w:r>
              <w:t>Bus Factor</w:t>
            </w:r>
          </w:p>
        </w:tc>
        <w:tc>
          <w:tcPr>
            <w:tcW w:w="0" w:type="auto"/>
            <w:tcMar>
              <w:top w:w="80" w:type="dxa"/>
              <w:left w:w="120" w:type="dxa"/>
              <w:bottom w:w="80" w:type="dxa"/>
              <w:right w:w="120" w:type="dxa"/>
            </w:tcMar>
            <w:vAlign w:val="center"/>
          </w:tcPr>
          <w:p w14:paraId="12527CE8" w14:textId="77777777" w:rsidR="00552D6C" w:rsidRDefault="00300E5D">
            <w:pPr>
              <w:pStyle w:val="MdTableCell"/>
              <w:jc w:val="center"/>
            </w:pPr>
            <w:r>
              <w:t>High</w:t>
            </w:r>
          </w:p>
        </w:tc>
      </w:tr>
      <w:tr w:rsidR="00552D6C" w14:paraId="66BCEB2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3A6780B" w14:textId="77777777" w:rsidR="00552D6C" w:rsidRDefault="00300E5D">
            <w:pPr>
              <w:pStyle w:val="MdTableCell"/>
            </w:pPr>
            <w:r>
              <w:t>OT-07</w:t>
            </w:r>
          </w:p>
        </w:tc>
        <w:tc>
          <w:tcPr>
            <w:tcW w:w="0" w:type="auto"/>
            <w:tcBorders>
              <w:bottom w:val="single" w:sz="4" w:space="0" w:color="E1E4E8"/>
            </w:tcBorders>
            <w:tcMar>
              <w:top w:w="80" w:type="dxa"/>
              <w:left w:w="120" w:type="dxa"/>
              <w:bottom w:w="80" w:type="dxa"/>
              <w:right w:w="120" w:type="dxa"/>
            </w:tcMar>
            <w:vAlign w:val="center"/>
          </w:tcPr>
          <w:p w14:paraId="34582792" w14:textId="77777777" w:rsidR="00552D6C" w:rsidRDefault="00300E5D">
            <w:pPr>
              <w:pStyle w:val="MdTableCell"/>
            </w:pPr>
            <w:r>
              <w:t>Engineer Engagement &amp; Satisfaction</w:t>
            </w:r>
          </w:p>
        </w:tc>
        <w:tc>
          <w:tcPr>
            <w:tcW w:w="0" w:type="auto"/>
            <w:tcBorders>
              <w:bottom w:val="single" w:sz="4" w:space="0" w:color="E1E4E8"/>
            </w:tcBorders>
            <w:tcMar>
              <w:top w:w="80" w:type="dxa"/>
              <w:left w:w="120" w:type="dxa"/>
              <w:bottom w:w="80" w:type="dxa"/>
              <w:right w:w="120" w:type="dxa"/>
            </w:tcMar>
            <w:vAlign w:val="center"/>
          </w:tcPr>
          <w:p w14:paraId="34F2EEB8" w14:textId="77777777" w:rsidR="00552D6C" w:rsidRDefault="00300E5D">
            <w:pPr>
              <w:pStyle w:val="MdTableCell"/>
              <w:jc w:val="center"/>
            </w:pPr>
            <w:r>
              <w:t>High</w:t>
            </w:r>
          </w:p>
        </w:tc>
      </w:tr>
    </w:tbl>
    <w:p w14:paraId="7895F6A1" w14:textId="77777777" w:rsidR="00552D6C" w:rsidRDefault="00552D6C">
      <w:pPr>
        <w:pStyle w:val="MdHr"/>
        <w:pBdr>
          <w:bottom w:val="single" w:sz="6" w:space="1" w:color="auto"/>
        </w:pBdr>
      </w:pPr>
    </w:p>
    <w:p w14:paraId="2C2378EC" w14:textId="77777777" w:rsidR="00552D6C" w:rsidRDefault="00552D6C">
      <w:pPr>
        <w:pStyle w:val="MdSpace"/>
        <w:spacing w:after="60"/>
      </w:pPr>
    </w:p>
    <w:p w14:paraId="67E2C814" w14:textId="77777777" w:rsidR="00552D6C" w:rsidRDefault="00300E5D">
      <w:pPr>
        <w:pStyle w:val="MdHeading2"/>
      </w:pPr>
      <w:r>
        <w:t>The Signal-in-Context Model: From Data to Conviction</w:t>
      </w:r>
    </w:p>
    <w:p w14:paraId="02229903" w14:textId="77777777" w:rsidR="00552D6C" w:rsidRDefault="00300E5D">
      <w:pPr>
        <w:pStyle w:val="MdParagraph"/>
      </w:pPr>
      <w:r>
        <w:t xml:space="preserve">To elevate the "Top 100 Signals" from simple metrics to conviction-grade insights, we must embed a structured methodology for contextualization. The </w:t>
      </w:r>
      <w:r>
        <w:rPr>
          <w:rStyle w:val="MdStrong"/>
        </w:rPr>
        <w:t>Signal-in-Context Model</w:t>
      </w:r>
      <w:r>
        <w:t xml:space="preserve"> is designed to do precisely this. It ensures that every signal is interpreted through a set of predefined lenses, transforming a raw data point into a nuanced, defensible assessment.</w:t>
      </w:r>
    </w:p>
    <w:p w14:paraId="0454B13B" w14:textId="77777777" w:rsidR="00552D6C" w:rsidRDefault="00552D6C">
      <w:pPr>
        <w:pStyle w:val="MdSpace"/>
        <w:spacing w:after="60"/>
      </w:pPr>
    </w:p>
    <w:p w14:paraId="401FCD32" w14:textId="77777777" w:rsidR="00552D6C" w:rsidRDefault="00300E5D">
      <w:pPr>
        <w:pStyle w:val="MdParagraph"/>
      </w:pPr>
      <w:r>
        <w:t>This model ensures that a raw data point is elevated into a nuanced, defensible assessment. By formalizing the contextual layer, we build a framework that is not only fast but also intelligent.</w:t>
      </w:r>
    </w:p>
    <w:p w14:paraId="1F0FE0CE" w14:textId="77777777" w:rsidR="00552D6C" w:rsidRDefault="00552D6C">
      <w:pPr>
        <w:pStyle w:val="MdSpace"/>
        <w:spacing w:after="60"/>
      </w:pPr>
    </w:p>
    <w:p w14:paraId="3F300DBC" w14:textId="77777777" w:rsidR="00552D6C" w:rsidRDefault="00300E5D">
      <w:pPr>
        <w:pStyle w:val="MdHeading3"/>
      </w:pPr>
      <w:r>
        <w:t>Components of the Model</w:t>
      </w:r>
    </w:p>
    <w:p w14:paraId="318BC967" w14:textId="77777777" w:rsidR="00552D6C" w:rsidRDefault="00300E5D">
      <w:pPr>
        <w:pStyle w:val="MdParagraph"/>
      </w:pPr>
      <w:r>
        <w:t>The model consists of three core components for each signal:</w:t>
      </w:r>
    </w:p>
    <w:p w14:paraId="5ABA41AB" w14:textId="77777777" w:rsidR="00552D6C" w:rsidRDefault="00552D6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04"/>
        <w:gridCol w:w="3054"/>
        <w:gridCol w:w="4268"/>
      </w:tblGrid>
      <w:tr w:rsidR="00552D6C" w14:paraId="679D6A9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6762160" w14:textId="77777777" w:rsidR="00552D6C" w:rsidRDefault="00300E5D">
            <w:pPr>
              <w:pStyle w:val="MdTableHeader"/>
            </w:pPr>
            <w:r>
              <w:t>Component</w:t>
            </w:r>
          </w:p>
        </w:tc>
        <w:tc>
          <w:tcPr>
            <w:tcW w:w="0" w:type="auto"/>
            <w:tcMar>
              <w:top w:w="100" w:type="dxa"/>
              <w:left w:w="120" w:type="dxa"/>
              <w:bottom w:w="100" w:type="dxa"/>
              <w:right w:w="120" w:type="dxa"/>
            </w:tcMar>
            <w:vAlign w:val="center"/>
          </w:tcPr>
          <w:p w14:paraId="6CEB3B0F" w14:textId="77777777" w:rsidR="00552D6C" w:rsidRDefault="00300E5D">
            <w:pPr>
              <w:pStyle w:val="MdTableHeader"/>
            </w:pPr>
            <w:r>
              <w:t>Description</w:t>
            </w:r>
          </w:p>
        </w:tc>
        <w:tc>
          <w:tcPr>
            <w:tcW w:w="0" w:type="auto"/>
            <w:tcMar>
              <w:top w:w="100" w:type="dxa"/>
              <w:left w:w="120" w:type="dxa"/>
              <w:bottom w:w="100" w:type="dxa"/>
              <w:right w:w="120" w:type="dxa"/>
            </w:tcMar>
            <w:vAlign w:val="center"/>
          </w:tcPr>
          <w:p w14:paraId="1745B0D4" w14:textId="77777777" w:rsidR="00552D6C" w:rsidRDefault="00300E5D">
            <w:pPr>
              <w:pStyle w:val="MdTableHeader"/>
            </w:pPr>
            <w:r>
              <w:t>Example (Dev-to-QA Ratio)</w:t>
            </w:r>
          </w:p>
        </w:tc>
      </w:tr>
      <w:tr w:rsidR="00552D6C" w14:paraId="6538DD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0EF7D4" w14:textId="77777777" w:rsidR="00552D6C" w:rsidRDefault="00300E5D">
            <w:pPr>
              <w:pStyle w:val="MdTableCell"/>
            </w:pPr>
            <w:r>
              <w:rPr>
                <w:rStyle w:val="MdStrong"/>
              </w:rPr>
              <w:t>1. The Raw Signal</w:t>
            </w:r>
          </w:p>
        </w:tc>
        <w:tc>
          <w:tcPr>
            <w:tcW w:w="0" w:type="auto"/>
            <w:tcMar>
              <w:top w:w="80" w:type="dxa"/>
              <w:left w:w="120" w:type="dxa"/>
              <w:bottom w:w="80" w:type="dxa"/>
              <w:right w:w="120" w:type="dxa"/>
            </w:tcMar>
            <w:vAlign w:val="center"/>
          </w:tcPr>
          <w:p w14:paraId="624632BE" w14:textId="77777777" w:rsidR="00552D6C" w:rsidRDefault="00300E5D">
            <w:pPr>
              <w:pStyle w:val="MdTableCell"/>
            </w:pPr>
            <w:r>
              <w:t>The objective, quantifiable metric derived from a specific data source. This is the "what."</w:t>
            </w:r>
          </w:p>
        </w:tc>
        <w:tc>
          <w:tcPr>
            <w:tcW w:w="0" w:type="auto"/>
            <w:tcMar>
              <w:top w:w="80" w:type="dxa"/>
              <w:left w:w="120" w:type="dxa"/>
              <w:bottom w:w="80" w:type="dxa"/>
              <w:right w:w="120" w:type="dxa"/>
            </w:tcMar>
            <w:vAlign w:val="center"/>
          </w:tcPr>
          <w:p w14:paraId="3A157BBD" w14:textId="77777777" w:rsidR="00552D6C" w:rsidRDefault="00300E5D">
            <w:pPr>
              <w:pStyle w:val="MdTableCell"/>
            </w:pPr>
            <w:r>
              <w:t>Dev-to-QA Ratio = 8:1</w:t>
            </w:r>
          </w:p>
        </w:tc>
      </w:tr>
      <w:tr w:rsidR="00552D6C" w14:paraId="282AEE0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A58B08" w14:textId="77777777" w:rsidR="00552D6C" w:rsidRDefault="00300E5D">
            <w:pPr>
              <w:pStyle w:val="MdTableCell"/>
            </w:pPr>
            <w:r>
              <w:rPr>
                <w:rStyle w:val="MdStrong"/>
              </w:rPr>
              <w:lastRenderedPageBreak/>
              <w:t>2. Contextual Modifiers</w:t>
            </w:r>
          </w:p>
        </w:tc>
        <w:tc>
          <w:tcPr>
            <w:tcW w:w="0" w:type="auto"/>
            <w:tcMar>
              <w:top w:w="80" w:type="dxa"/>
              <w:left w:w="120" w:type="dxa"/>
              <w:bottom w:w="80" w:type="dxa"/>
              <w:right w:w="120" w:type="dxa"/>
            </w:tcMar>
            <w:vAlign w:val="center"/>
          </w:tcPr>
          <w:p w14:paraId="56D3A0E0" w14:textId="77777777" w:rsidR="00552D6C" w:rsidRDefault="00300E5D">
            <w:pPr>
              <w:pStyle w:val="MdTableCell"/>
            </w:pPr>
            <w:r>
              <w:t>A predefined set of factors that influence the interpretation of the raw signal. These are the "it depends on..." factors.</w:t>
            </w:r>
          </w:p>
        </w:tc>
        <w:tc>
          <w:tcPr>
            <w:tcW w:w="0" w:type="auto"/>
            <w:tcMar>
              <w:top w:w="80" w:type="dxa"/>
              <w:left w:w="120" w:type="dxa"/>
              <w:bottom w:w="80" w:type="dxa"/>
              <w:right w:w="120" w:type="dxa"/>
            </w:tcMar>
            <w:vAlign w:val="center"/>
          </w:tcPr>
          <w:p w14:paraId="0FCF8B98" w14:textId="77777777" w:rsidR="00552D6C" w:rsidRDefault="00300E5D">
            <w:pPr>
              <w:pStyle w:val="MdTableCell"/>
            </w:pPr>
            <w:r>
              <w:t>Company Stage (e.g., Growth vs. Mature), Test Automation Maturity, Industry Vertical, Release Cadence.</w:t>
            </w:r>
          </w:p>
        </w:tc>
      </w:tr>
      <w:tr w:rsidR="00552D6C" w14:paraId="6B1D897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1F98784" w14:textId="77777777" w:rsidR="00552D6C" w:rsidRDefault="00300E5D">
            <w:pPr>
              <w:pStyle w:val="MdTableCell"/>
            </w:pPr>
            <w:r>
              <w:rPr>
                <w:rStyle w:val="MdStrong"/>
              </w:rPr>
              <w:t>3. Contextualized Insight</w:t>
            </w:r>
          </w:p>
        </w:tc>
        <w:tc>
          <w:tcPr>
            <w:tcW w:w="0" w:type="auto"/>
            <w:tcBorders>
              <w:bottom w:val="single" w:sz="4" w:space="0" w:color="E1E4E8"/>
            </w:tcBorders>
            <w:tcMar>
              <w:top w:w="80" w:type="dxa"/>
              <w:left w:w="120" w:type="dxa"/>
              <w:bottom w:w="80" w:type="dxa"/>
              <w:right w:w="120" w:type="dxa"/>
            </w:tcMar>
            <w:vAlign w:val="center"/>
          </w:tcPr>
          <w:p w14:paraId="2CD07CB1" w14:textId="77777777" w:rsidR="00552D6C" w:rsidRDefault="00300E5D">
            <w:pPr>
              <w:pStyle w:val="MdTableCell"/>
            </w:pPr>
            <w:r>
              <w:t>The final, actionable interpretation that synthesizes the raw signal with the contextual modifiers. This is the "so what."</w:t>
            </w:r>
          </w:p>
        </w:tc>
        <w:tc>
          <w:tcPr>
            <w:tcW w:w="0" w:type="auto"/>
            <w:tcBorders>
              <w:bottom w:val="single" w:sz="4" w:space="0" w:color="E1E4E8"/>
            </w:tcBorders>
            <w:tcMar>
              <w:top w:w="80" w:type="dxa"/>
              <w:left w:w="120" w:type="dxa"/>
              <w:bottom w:w="80" w:type="dxa"/>
              <w:right w:w="120" w:type="dxa"/>
            </w:tcMar>
            <w:vAlign w:val="center"/>
          </w:tcPr>
          <w:p w14:paraId="554C4C72" w14:textId="77777777" w:rsidR="00552D6C" w:rsidRDefault="00300E5D">
            <w:pPr>
              <w:pStyle w:val="MdTableCell"/>
            </w:pPr>
            <w:r>
              <w:t xml:space="preserve">"The 8:1 ratio is within the expected range for a growth-stage SaaS company with a high degree of test automation. This is not a red flag at this </w:t>
            </w:r>
            <w:proofErr w:type="gramStart"/>
            <w:r>
              <w:t>time, but</w:t>
            </w:r>
            <w:proofErr w:type="gramEnd"/>
            <w:r>
              <w:t xml:space="preserve"> should be monitored as the company scales."</w:t>
            </w:r>
          </w:p>
        </w:tc>
      </w:tr>
    </w:tbl>
    <w:p w14:paraId="672F1163" w14:textId="77777777" w:rsidR="00552D6C" w:rsidRDefault="00300E5D">
      <w:pPr>
        <w:pStyle w:val="MdHeading3"/>
      </w:pPr>
      <w:r>
        <w:t>How the Model Prevents Naive Interpretations</w:t>
      </w:r>
    </w:p>
    <w:p w14:paraId="13BAF2B0" w14:textId="77777777" w:rsidR="00552D6C" w:rsidRDefault="00300E5D">
      <w:pPr>
        <w:pStyle w:val="MdParagraph"/>
      </w:pPr>
      <w:r>
        <w:t>Let's apply the model to the two examples discussed:</w:t>
      </w:r>
    </w:p>
    <w:p w14:paraId="05FCF6C0" w14:textId="77777777" w:rsidR="00552D6C" w:rsidRDefault="00552D6C">
      <w:pPr>
        <w:pStyle w:val="MdSpace"/>
        <w:spacing w:after="60"/>
      </w:pPr>
    </w:p>
    <w:p w14:paraId="5492C8B0" w14:textId="77777777" w:rsidR="00552D6C" w:rsidRDefault="00300E5D">
      <w:pPr>
        <w:pStyle w:val="MdHeading4"/>
      </w:pPr>
      <w:r>
        <w:t>Example 1: Dev-to-QA Ratio</w:t>
      </w:r>
    </w:p>
    <w:p w14:paraId="1E29F6D5" w14:textId="77777777" w:rsidR="00552D6C" w:rsidRDefault="00300E5D">
      <w:pPr>
        <w:pStyle w:val="MdListItem"/>
        <w:numPr>
          <w:ilvl w:val="0"/>
          <w:numId w:val="2"/>
        </w:numPr>
      </w:pPr>
      <w:r>
        <w:rPr>
          <w:rStyle w:val="MdStrong"/>
        </w:rPr>
        <w:t>Raw Signal:</w:t>
      </w:r>
      <w:r>
        <w:t xml:space="preserve"> 8:1 Dev-to-QA ratio.</w:t>
      </w:r>
    </w:p>
    <w:p w14:paraId="4AEF1CA0" w14:textId="77777777" w:rsidR="00552D6C" w:rsidRDefault="00300E5D">
      <w:pPr>
        <w:pStyle w:val="MdListItem"/>
        <w:numPr>
          <w:ilvl w:val="0"/>
          <w:numId w:val="2"/>
        </w:numPr>
      </w:pPr>
      <w:r>
        <w:rPr>
          <w:rStyle w:val="MdStrong"/>
        </w:rPr>
        <w:t>Naive Interpretation:</w:t>
      </w:r>
      <w:r>
        <w:t xml:space="preserve"> "This is a high ratio, which indicates a potential quality risk."</w:t>
      </w:r>
    </w:p>
    <w:p w14:paraId="5229F865" w14:textId="77777777" w:rsidR="00552D6C" w:rsidRDefault="00300E5D">
      <w:pPr>
        <w:pStyle w:val="MdListItem"/>
        <w:numPr>
          <w:ilvl w:val="0"/>
          <w:numId w:val="2"/>
        </w:numPr>
      </w:pPr>
      <w:r>
        <w:rPr>
          <w:rStyle w:val="MdStrong"/>
        </w:rPr>
        <w:t>Signal-in-Context Interpretation:</w:t>
      </w:r>
      <w:r>
        <w:t xml:space="preserve"> By applying the </w:t>
      </w:r>
      <w:r>
        <w:rPr>
          <w:rStyle w:val="MdStrong"/>
        </w:rPr>
        <w:t>Contextual Modifiers</w:t>
      </w:r>
      <w:r>
        <w:t xml:space="preserve"> (Company Stage = Growth, Test Automation = High), we arrive at a </w:t>
      </w:r>
      <w:r>
        <w:rPr>
          <w:rStyle w:val="MdStrong"/>
        </w:rPr>
        <w:t>Contextualized Insight</w:t>
      </w:r>
      <w:r>
        <w:t xml:space="preserve"> that this ratio is acceptable and strategic for the company's current phase.</w:t>
      </w:r>
    </w:p>
    <w:p w14:paraId="2F2B2577" w14:textId="77777777" w:rsidR="00552D6C" w:rsidRDefault="00552D6C">
      <w:pPr>
        <w:pStyle w:val="MdSpace"/>
        <w:spacing w:after="60"/>
      </w:pPr>
    </w:p>
    <w:p w14:paraId="254919DA" w14:textId="77777777" w:rsidR="00552D6C" w:rsidRDefault="00300E5D">
      <w:pPr>
        <w:pStyle w:val="MdHeading4"/>
      </w:pPr>
      <w:r>
        <w:t>Example 2: Technical Debt</w:t>
      </w:r>
    </w:p>
    <w:p w14:paraId="00718EF3" w14:textId="77777777" w:rsidR="00552D6C" w:rsidRDefault="00300E5D">
      <w:pPr>
        <w:pStyle w:val="MdListItem"/>
        <w:numPr>
          <w:ilvl w:val="0"/>
          <w:numId w:val="2"/>
        </w:numPr>
      </w:pPr>
      <w:r>
        <w:rPr>
          <w:rStyle w:val="MdStrong"/>
        </w:rPr>
        <w:t>Raw Signal:</w:t>
      </w:r>
      <w:r>
        <w:t xml:space="preserve"> High Technical Debt Ratio (e.g., 25%).</w:t>
      </w:r>
    </w:p>
    <w:p w14:paraId="1F85B015" w14:textId="77777777" w:rsidR="00552D6C" w:rsidRDefault="00300E5D">
      <w:pPr>
        <w:pStyle w:val="MdListItem"/>
        <w:numPr>
          <w:ilvl w:val="0"/>
          <w:numId w:val="2"/>
        </w:numPr>
      </w:pPr>
      <w:r>
        <w:rPr>
          <w:rStyle w:val="MdStrong"/>
        </w:rPr>
        <w:t>Naive Interpretation:</w:t>
      </w:r>
      <w:r>
        <w:t xml:space="preserve"> "This codebase is a mess and will require significant investment to fix."</w:t>
      </w:r>
    </w:p>
    <w:p w14:paraId="66C0EB1F" w14:textId="77777777" w:rsidR="00552D6C" w:rsidRDefault="00300E5D">
      <w:pPr>
        <w:pStyle w:val="MdListItem"/>
        <w:numPr>
          <w:ilvl w:val="0"/>
          <w:numId w:val="2"/>
        </w:numPr>
      </w:pPr>
      <w:r>
        <w:rPr>
          <w:rStyle w:val="MdStrong"/>
        </w:rPr>
        <w:t>Signal-in-Context Interpretation:</w:t>
      </w:r>
      <w:r>
        <w:t xml:space="preserve"> By applying the </w:t>
      </w:r>
      <w:r>
        <w:rPr>
          <w:rStyle w:val="MdStrong"/>
        </w:rPr>
        <w:t>Contextual Modifiers</w:t>
      </w:r>
      <w:r>
        <w:t xml:space="preserve"> (Business Model = Stable/Legacy, Investment Thesis = Buy-and-Hold, Location of Debt = Non-Core Modules), we arrive at a </w:t>
      </w:r>
      <w:r>
        <w:rPr>
          <w:rStyle w:val="MdStrong"/>
        </w:rPr>
        <w:t>Contextualized Insight</w:t>
      </w:r>
      <w:r>
        <w:t xml:space="preserve"> that the technical debt is manageable and does not require immediate remediation, thus not impacting the investment thesis.</w:t>
      </w:r>
    </w:p>
    <w:p w14:paraId="1208F345" w14:textId="77777777" w:rsidR="00552D6C" w:rsidRDefault="00552D6C">
      <w:pPr>
        <w:pStyle w:val="MdSpace"/>
        <w:spacing w:after="60"/>
      </w:pPr>
    </w:p>
    <w:p w14:paraId="7C69688B" w14:textId="77777777" w:rsidR="00552D6C" w:rsidRDefault="00300E5D">
      <w:pPr>
        <w:pStyle w:val="MdParagraph"/>
      </w:pPr>
      <w:r>
        <w:t>This model will be integrated directly into the Signal Dictionary, ensuring that every signal is defined with the necessary contextual framework from the outset. This proactive approach will build credibility and demonstrate a sophisticated understanding of the due diligence process when presenting the framework for validation.</w:t>
      </w:r>
    </w:p>
    <w:p w14:paraId="72DC8B76" w14:textId="77777777" w:rsidR="00552D6C" w:rsidRDefault="00552D6C">
      <w:pPr>
        <w:pStyle w:val="MdSpace"/>
        <w:spacing w:after="60"/>
      </w:pPr>
    </w:p>
    <w:p w14:paraId="11DF2E86" w14:textId="77777777" w:rsidR="00552D6C" w:rsidRDefault="00300E5D">
      <w:pPr>
        <w:pStyle w:val="MdListItem"/>
        <w:numPr>
          <w:ilvl w:val="0"/>
          <w:numId w:val="3"/>
        </w:numPr>
      </w:pPr>
      <w:r>
        <w:rPr>
          <w:rStyle w:val="MdStrong"/>
        </w:rPr>
        <w:t>Before Inference (Benchmarking):</w:t>
      </w:r>
      <w:r>
        <w:t xml:space="preserve"> Each signal is compared against industry benchmarks and data from prior transactions. This provides context for what "good" looks like.</w:t>
      </w:r>
    </w:p>
    <w:p w14:paraId="3A087983" w14:textId="77777777" w:rsidR="00552D6C" w:rsidRDefault="00300E5D">
      <w:pPr>
        <w:pStyle w:val="MdListItem"/>
        <w:numPr>
          <w:ilvl w:val="0"/>
          <w:numId w:val="3"/>
        </w:numPr>
      </w:pPr>
      <w:r>
        <w:rPr>
          <w:rStyle w:val="MdStrong"/>
        </w:rPr>
        <w:t>During Inference (Explanation):</w:t>
      </w:r>
      <w:r>
        <w:t xml:space="preserve"> The system provides a clear explanation of how the signal was calculated and what data sources were used. This ensures transparency and allows for validation.</w:t>
      </w:r>
    </w:p>
    <w:p w14:paraId="722A5E38" w14:textId="77777777" w:rsidR="00552D6C" w:rsidRDefault="00300E5D">
      <w:pPr>
        <w:pStyle w:val="MdListItem"/>
        <w:numPr>
          <w:ilvl w:val="0"/>
          <w:numId w:val="3"/>
        </w:numPr>
      </w:pPr>
      <w:r>
        <w:rPr>
          <w:rStyle w:val="MdStrong"/>
        </w:rPr>
        <w:lastRenderedPageBreak/>
        <w:t>After Inference (Implication):</w:t>
      </w:r>
      <w:r>
        <w:t xml:space="preserve"> The system provides an interpretation of the signal's value in the context of the investment thesis. This connects the technical </w:t>
      </w:r>
      <w:proofErr w:type="gramStart"/>
      <w:r>
        <w:t>finding</w:t>
      </w:r>
      <w:proofErr w:type="gramEnd"/>
      <w:r>
        <w:t xml:space="preserve"> to the business decision.</w:t>
      </w:r>
    </w:p>
    <w:p w14:paraId="5E6D7D0F" w14:textId="77777777" w:rsidR="00552D6C" w:rsidRDefault="00552D6C">
      <w:pPr>
        <w:pStyle w:val="MdSpace"/>
        <w:spacing w:after="60"/>
      </w:pPr>
    </w:p>
    <w:p w14:paraId="296385E3" w14:textId="77777777" w:rsidR="00552D6C" w:rsidRDefault="00552D6C">
      <w:pPr>
        <w:pStyle w:val="MdHr"/>
        <w:pBdr>
          <w:bottom w:val="single" w:sz="6" w:space="1" w:color="auto"/>
        </w:pBdr>
      </w:pPr>
    </w:p>
    <w:p w14:paraId="6A141C58" w14:textId="77777777" w:rsidR="00552D6C" w:rsidRDefault="00552D6C">
      <w:pPr>
        <w:pStyle w:val="MdSpace"/>
        <w:spacing w:after="60"/>
      </w:pPr>
    </w:p>
    <w:p w14:paraId="209055BB" w14:textId="77777777" w:rsidR="00552D6C" w:rsidRDefault="00300E5D">
      <w:pPr>
        <w:pStyle w:val="MdHeading2"/>
      </w:pPr>
      <w:r>
        <w:t>Recommended Next Steps</w:t>
      </w:r>
    </w:p>
    <w:p w14:paraId="5C35A0C7" w14:textId="77777777" w:rsidR="00552D6C" w:rsidRDefault="00300E5D">
      <w:pPr>
        <w:pStyle w:val="MdParagraph"/>
      </w:pPr>
      <w:r>
        <w:t>To move forward with this framework, the following steps are recommended:</w:t>
      </w:r>
    </w:p>
    <w:p w14:paraId="1065D4D4" w14:textId="77777777" w:rsidR="00552D6C" w:rsidRDefault="00552D6C">
      <w:pPr>
        <w:pStyle w:val="MdSpace"/>
        <w:spacing w:after="60"/>
      </w:pPr>
    </w:p>
    <w:p w14:paraId="2DA27706" w14:textId="77777777" w:rsidR="00552D6C" w:rsidRDefault="00300E5D">
      <w:pPr>
        <w:pStyle w:val="MdListItem"/>
        <w:numPr>
          <w:ilvl w:val="0"/>
          <w:numId w:val="3"/>
        </w:numPr>
      </w:pPr>
      <w:r>
        <w:rPr>
          <w:rStyle w:val="MdStrong"/>
        </w:rPr>
        <w:t>Partner Validation:</w:t>
      </w:r>
      <w:r>
        <w:t xml:space="preserve"> Present this proposed framework to a lead partner for feedback and validation. The goal is to ensure the categories and signal distribution align with Crosslake's strategic positioning and client needs.</w:t>
      </w:r>
    </w:p>
    <w:p w14:paraId="4CBCE8E3" w14:textId="77777777" w:rsidR="00552D6C" w:rsidRDefault="00300E5D">
      <w:pPr>
        <w:pStyle w:val="MdListItem"/>
        <w:numPr>
          <w:ilvl w:val="0"/>
          <w:numId w:val="3"/>
        </w:numPr>
      </w:pPr>
      <w:r>
        <w:rPr>
          <w:rStyle w:val="MdStrong"/>
        </w:rPr>
        <w:t>Signal Definition Completion:</w:t>
      </w:r>
      <w:r>
        <w:t xml:space="preserve"> Once the framework is validated, complete the definition of all 100 signals, including technical definitions, data sources, and conviction weights.</w:t>
      </w:r>
    </w:p>
    <w:p w14:paraId="063F1FCA" w14:textId="77777777" w:rsidR="00552D6C" w:rsidRDefault="00300E5D">
      <w:pPr>
        <w:pStyle w:val="MdListItem"/>
        <w:numPr>
          <w:ilvl w:val="0"/>
          <w:numId w:val="3"/>
        </w:numPr>
      </w:pPr>
      <w:r>
        <w:rPr>
          <w:rStyle w:val="MdStrong"/>
        </w:rPr>
        <w:t>Data Source Mapping:</w:t>
      </w:r>
      <w:r>
        <w:t xml:space="preserve"> For each signal, map the specific data sources required for automated or semi-automated calculation. This will inform the technical architecture of the conviction engine.</w:t>
      </w:r>
    </w:p>
    <w:p w14:paraId="3EB33B42" w14:textId="77777777" w:rsidR="00552D6C" w:rsidRDefault="00552D6C">
      <w:pPr>
        <w:pStyle w:val="MdSpace"/>
        <w:spacing w:after="60"/>
      </w:pPr>
    </w:p>
    <w:p w14:paraId="7CF539A0" w14:textId="77777777" w:rsidR="00552D6C" w:rsidRDefault="00552D6C">
      <w:pPr>
        <w:pStyle w:val="MdHr"/>
        <w:pBdr>
          <w:bottom w:val="single" w:sz="6" w:space="1" w:color="auto"/>
        </w:pBdr>
      </w:pPr>
    </w:p>
    <w:p w14:paraId="66B0A97B" w14:textId="77777777" w:rsidR="00552D6C" w:rsidRDefault="00552D6C">
      <w:pPr>
        <w:pStyle w:val="MdSpace"/>
        <w:spacing w:after="60"/>
      </w:pPr>
    </w:p>
    <w:p w14:paraId="2262C55A" w14:textId="77777777" w:rsidR="00552D6C" w:rsidRDefault="00300E5D">
      <w:pPr>
        <w:pStyle w:val="MdHeading2"/>
      </w:pPr>
      <w:r>
        <w:t>References</w:t>
      </w:r>
    </w:p>
    <w:p w14:paraId="4239D63A" w14:textId="77777777" w:rsidR="00552D6C" w:rsidRDefault="00300E5D">
      <w:pPr>
        <w:pStyle w:val="MdParagraph"/>
      </w:pPr>
      <w:r>
        <w:t xml:space="preserve">[1]: Kearney, "If AI can improve technical diligences, is private equity asking the right questions?" </w:t>
      </w:r>
      <w:hyperlink r:id="rId5" w:history="1">
        <w:r>
          <w:rPr>
            <w:rStyle w:val="MdLink"/>
          </w:rPr>
          <w:t>https://www.kearney.com/service/digital-analytics/article/if-ai-can-improve-technical-diligences-is-private-equity-asking-the-right-questions</w:t>
        </w:r>
      </w:hyperlink>
    </w:p>
    <w:p w14:paraId="3FDC4251" w14:textId="77777777" w:rsidR="00552D6C" w:rsidRDefault="00552D6C">
      <w:pPr>
        <w:pStyle w:val="MdSpace"/>
        <w:spacing w:after="60"/>
      </w:pPr>
    </w:p>
    <w:p w14:paraId="7FE8EFB2" w14:textId="77777777" w:rsidR="00552D6C" w:rsidRDefault="00300E5D">
      <w:pPr>
        <w:pStyle w:val="MdParagraph"/>
      </w:pPr>
      <w:r>
        <w:t xml:space="preserve">[2]: M&amp;A Community, "A complete technology due diligence checklist." </w:t>
      </w:r>
      <w:hyperlink r:id="rId6" w:history="1">
        <w:r>
          <w:rPr>
            <w:rStyle w:val="MdLink"/>
          </w:rPr>
          <w:t>https://mnacommunity.com/insights/complete-technology-due-diligence-checklist/</w:t>
        </w:r>
      </w:hyperlink>
    </w:p>
    <w:p w14:paraId="26406A70" w14:textId="77777777" w:rsidR="00552D6C" w:rsidRDefault="00552D6C">
      <w:pPr>
        <w:pStyle w:val="MdSpace"/>
        <w:spacing w:after="60"/>
      </w:pPr>
    </w:p>
    <w:p w14:paraId="10401E63" w14:textId="77777777" w:rsidR="00552D6C" w:rsidRDefault="00300E5D">
      <w:pPr>
        <w:pStyle w:val="MdParagraph"/>
      </w:pPr>
      <w:r>
        <w:t xml:space="preserve">[3]: </w:t>
      </w:r>
      <w:proofErr w:type="spellStart"/>
      <w:r>
        <w:t>Embrio.tech</w:t>
      </w:r>
      <w:proofErr w:type="spellEnd"/>
      <w:r>
        <w:t xml:space="preserve">, "The Six Core Dimensions of Comprehensive Technical Due Diligence." </w:t>
      </w:r>
      <w:hyperlink r:id="rId7" w:history="1">
        <w:r>
          <w:rPr>
            <w:rStyle w:val="MdLink"/>
          </w:rPr>
          <w:t>https://embrio.tech/en/ideas/information-technology-due-diligence</w:t>
        </w:r>
      </w:hyperlink>
    </w:p>
    <w:p w14:paraId="06DA6B53" w14:textId="77777777" w:rsidR="00552D6C" w:rsidRDefault="00552D6C">
      <w:pPr>
        <w:pStyle w:val="MdSpace"/>
        <w:spacing w:after="60"/>
      </w:pPr>
    </w:p>
    <w:p w14:paraId="0453FAD7" w14:textId="77777777" w:rsidR="00552D6C" w:rsidRDefault="00300E5D">
      <w:pPr>
        <w:pStyle w:val="MdParagraph"/>
      </w:pPr>
      <w:r>
        <w:t xml:space="preserve">[4]: Crosslake Technologies, "Tech Due Diligence." </w:t>
      </w:r>
      <w:hyperlink r:id="rId8" w:history="1">
        <w:r>
          <w:rPr>
            <w:rStyle w:val="MdLink"/>
          </w:rPr>
          <w:t>https://crosslaketech.com/tech-due-diligence/</w:t>
        </w:r>
      </w:hyperlink>
    </w:p>
    <w:p w14:paraId="24CAB99D" w14:textId="77777777" w:rsidR="00552D6C" w:rsidRDefault="00552D6C">
      <w:pPr>
        <w:pStyle w:val="MdSpace"/>
        <w:spacing w:after="60"/>
      </w:pPr>
    </w:p>
    <w:p w14:paraId="103F75A9" w14:textId="77777777" w:rsidR="00552D6C" w:rsidRDefault="00552D6C">
      <w:pPr>
        <w:pStyle w:val="MdHr"/>
        <w:pBdr>
          <w:bottom w:val="single" w:sz="6" w:space="1" w:color="auto"/>
        </w:pBdr>
      </w:pPr>
    </w:p>
    <w:p w14:paraId="6D917BA8" w14:textId="77777777" w:rsidR="00552D6C" w:rsidRDefault="00552D6C">
      <w:pPr>
        <w:pStyle w:val="MdSpace"/>
        <w:spacing w:after="60"/>
      </w:pPr>
    </w:p>
    <w:p w14:paraId="0141BCC5" w14:textId="77777777" w:rsidR="00552D6C" w:rsidRDefault="00300E5D">
      <w:pPr>
        <w:pStyle w:val="MdHeading2"/>
      </w:pPr>
      <w:r>
        <w:lastRenderedPageBreak/>
        <w:t xml:space="preserve">Addendum: From </w:t>
      </w:r>
      <w:proofErr w:type="spellStart"/>
      <w:r>
        <w:t>TechLens</w:t>
      </w:r>
      <w:proofErr w:type="spellEnd"/>
      <w:r>
        <w:t xml:space="preserve"> to the 11-Lens Framework</w:t>
      </w:r>
    </w:p>
    <w:p w14:paraId="51F371DC" w14:textId="77777777" w:rsidR="00552D6C" w:rsidRDefault="00300E5D">
      <w:pPr>
        <w:pStyle w:val="MdParagraph"/>
      </w:pPr>
      <w:r>
        <w:rPr>
          <w:rStyle w:val="MdStrong"/>
        </w:rPr>
        <w:t>A Note for the Crosslake Deal Advisory Team</w:t>
      </w:r>
    </w:p>
    <w:p w14:paraId="0363E9C8" w14:textId="77777777" w:rsidR="00552D6C" w:rsidRDefault="00552D6C">
      <w:pPr>
        <w:pStyle w:val="MdSpace"/>
        <w:spacing w:after="60"/>
      </w:pPr>
    </w:p>
    <w:p w14:paraId="2B0C48F7" w14:textId="77777777" w:rsidR="00552D6C" w:rsidRDefault="00300E5D">
      <w:pPr>
        <w:pStyle w:val="MdParagraph"/>
      </w:pPr>
      <w:r>
        <w:t xml:space="preserve">This document proposes a new 11-lens framework for our signal-based conviction engine. We want to be explicit that this is an </w:t>
      </w:r>
      <w:r>
        <w:rPr>
          <w:rStyle w:val="MdStrong"/>
        </w:rPr>
        <w:t>evolution, not a replacement</w:t>
      </w:r>
      <w:r>
        <w:t xml:space="preserve">, of the valuable work and data capture processes already established with </w:t>
      </w:r>
      <w:proofErr w:type="spellStart"/>
      <w:r>
        <w:t>TechLens</w:t>
      </w:r>
      <w:proofErr w:type="spellEnd"/>
      <w:r>
        <w:t>. The data you capture today is the foundation upon which this more nuanced model is built.</w:t>
      </w:r>
    </w:p>
    <w:p w14:paraId="11580520" w14:textId="77777777" w:rsidR="00552D6C" w:rsidRDefault="00552D6C">
      <w:pPr>
        <w:pStyle w:val="MdSpace"/>
        <w:spacing w:after="60"/>
      </w:pPr>
    </w:p>
    <w:p w14:paraId="78C9447C" w14:textId="77777777" w:rsidR="00552D6C" w:rsidRDefault="00300E5D">
      <w:pPr>
        <w:pStyle w:val="MdHeading3"/>
      </w:pPr>
      <w:r>
        <w:t>Why Propose a New Framework?</w:t>
      </w:r>
    </w:p>
    <w:p w14:paraId="5C553B29" w14:textId="77777777" w:rsidR="00552D6C" w:rsidRDefault="00300E5D">
      <w:pPr>
        <w:pStyle w:val="MdParagraph"/>
      </w:pPr>
      <w:r>
        <w:t>The goal of this proposal is to enhance our ability to deliver conviction-grade insights by organizing the signals in a way that promotes deeper analysis. The 11-lens model is designed to:</w:t>
      </w:r>
    </w:p>
    <w:p w14:paraId="4CCB864F" w14:textId="77777777" w:rsidR="00552D6C" w:rsidRDefault="00552D6C">
      <w:pPr>
        <w:pStyle w:val="MdSpace"/>
        <w:spacing w:after="60"/>
      </w:pPr>
    </w:p>
    <w:p w14:paraId="36EC6C8D" w14:textId="77777777" w:rsidR="00552D6C" w:rsidRDefault="00300E5D">
      <w:pPr>
        <w:pStyle w:val="MdListItem"/>
        <w:numPr>
          <w:ilvl w:val="0"/>
          <w:numId w:val="3"/>
        </w:numPr>
      </w:pPr>
      <w:proofErr w:type="gramStart"/>
      <w:r>
        <w:rPr>
          <w:rStyle w:val="MdStrong"/>
        </w:rPr>
        <w:t>Enable</w:t>
      </w:r>
      <w:proofErr w:type="gramEnd"/>
      <w:r>
        <w:rPr>
          <w:rStyle w:val="MdStrong"/>
        </w:rPr>
        <w:t xml:space="preserve"> Richer Context:</w:t>
      </w:r>
      <w:r>
        <w:t xml:space="preserve"> By separating broad categories like "Solution Quality" into more specific lenses (e.g., Technology &amp; Architecture, Engineering &amp; Delivery, Product &amp; Customer Experience), we can have more meaningful conversations about where quality issues truly lie and what their specific business impact is.</w:t>
      </w:r>
    </w:p>
    <w:p w14:paraId="270D2D9F" w14:textId="77777777" w:rsidR="00552D6C" w:rsidRDefault="00300E5D">
      <w:pPr>
        <w:pStyle w:val="MdListItem"/>
        <w:numPr>
          <w:ilvl w:val="0"/>
          <w:numId w:val="3"/>
        </w:numPr>
      </w:pPr>
      <w:r>
        <w:rPr>
          <w:rStyle w:val="MdStrong"/>
        </w:rPr>
        <w:t>Facilitate Triangulation:</w:t>
      </w:r>
      <w:r>
        <w:t xml:space="preserve"> The new structure makes it easier to connect signals across different facets of the business to form a more complete and defensible investment thesis. For example, you can now easily triangulate:</w:t>
      </w:r>
    </w:p>
    <w:p w14:paraId="3F9C02C8" w14:textId="77777777" w:rsidR="00552D6C" w:rsidRDefault="00300E5D">
      <w:pPr>
        <w:pStyle w:val="MdListItem"/>
        <w:numPr>
          <w:ilvl w:val="1"/>
          <w:numId w:val="2"/>
        </w:numPr>
      </w:pPr>
      <w:r>
        <w:rPr>
          <w:rStyle w:val="MdStrong"/>
        </w:rPr>
        <w:t>High Technical Debt</w:t>
      </w:r>
      <w:r>
        <w:t xml:space="preserve"> (Lens 2) with...</w:t>
      </w:r>
    </w:p>
    <w:p w14:paraId="5F237A36" w14:textId="77777777" w:rsidR="00552D6C" w:rsidRDefault="00300E5D">
      <w:pPr>
        <w:pStyle w:val="MdListItem"/>
        <w:numPr>
          <w:ilvl w:val="1"/>
          <w:numId w:val="2"/>
        </w:numPr>
      </w:pPr>
      <w:r>
        <w:rPr>
          <w:rStyle w:val="MdStrong"/>
        </w:rPr>
        <w:t>Low Innovation vs. Maintenance Ratio</w:t>
      </w:r>
      <w:r>
        <w:t xml:space="preserve"> (Lens 7) and...</w:t>
      </w:r>
    </w:p>
    <w:p w14:paraId="6F14555D" w14:textId="77777777" w:rsidR="00552D6C" w:rsidRDefault="00300E5D">
      <w:pPr>
        <w:pStyle w:val="MdListItem"/>
        <w:numPr>
          <w:ilvl w:val="1"/>
          <w:numId w:val="2"/>
        </w:numPr>
      </w:pPr>
      <w:r>
        <w:rPr>
          <w:rStyle w:val="MdStrong"/>
        </w:rPr>
        <w:t>Declining Customer Satisfaction</w:t>
      </w:r>
      <w:r>
        <w:t xml:space="preserve"> (Lens 8)</w:t>
      </w:r>
    </w:p>
    <w:p w14:paraId="7A1BB243" w14:textId="77777777" w:rsidR="00552D6C" w:rsidRDefault="00552D6C">
      <w:pPr>
        <w:pStyle w:val="MdSpace"/>
        <w:spacing w:after="60"/>
      </w:pPr>
    </w:p>
    <w:p w14:paraId="1392C0AF" w14:textId="77777777" w:rsidR="00552D6C" w:rsidRDefault="00300E5D">
      <w:pPr>
        <w:pStyle w:val="MdListItem"/>
        <w:numPr>
          <w:ilvl w:val="0"/>
          <w:numId w:val="3"/>
        </w:numPr>
      </w:pPr>
      <w:r>
        <w:t>This triangulation tells a much more powerful story than if these signals were siloed within a single "Solution Quality" score.</w:t>
      </w:r>
    </w:p>
    <w:p w14:paraId="7FF6B54A" w14:textId="77777777" w:rsidR="00552D6C" w:rsidRDefault="00300E5D">
      <w:pPr>
        <w:pStyle w:val="MdListItem"/>
        <w:numPr>
          <w:ilvl w:val="0"/>
          <w:numId w:val="3"/>
        </w:numPr>
      </w:pPr>
      <w:proofErr w:type="gramStart"/>
      <w:r>
        <w:rPr>
          <w:rStyle w:val="MdStrong"/>
        </w:rPr>
        <w:t>Align</w:t>
      </w:r>
      <w:proofErr w:type="gramEnd"/>
      <w:r>
        <w:rPr>
          <w:rStyle w:val="MdStrong"/>
        </w:rPr>
        <w:t xml:space="preserve"> with Strategic Dialogue:</w:t>
      </w:r>
      <w:r>
        <w:t xml:space="preserve"> The 11 lenses are designed to mirror the strategic questions that deal leads and operating partners are asking. This alignment ensures that our technical findings are directly relevant to the business decisions at hand.</w:t>
      </w:r>
    </w:p>
    <w:p w14:paraId="3695CF2B" w14:textId="77777777" w:rsidR="00552D6C" w:rsidRDefault="00552D6C">
      <w:pPr>
        <w:pStyle w:val="MdSpace"/>
        <w:spacing w:after="60"/>
      </w:pPr>
    </w:p>
    <w:p w14:paraId="2C39850E" w14:textId="77777777" w:rsidR="00552D6C" w:rsidRDefault="00300E5D">
      <w:pPr>
        <w:pStyle w:val="MdHeading3"/>
      </w:pPr>
      <w:r>
        <w:t>The Decomposition of "Solution Quality"</w:t>
      </w:r>
    </w:p>
    <w:p w14:paraId="35B23B29" w14:textId="77777777" w:rsidR="00552D6C" w:rsidRDefault="00300E5D">
      <w:pPr>
        <w:pStyle w:val="MdParagraph"/>
      </w:pPr>
      <w:r>
        <w:t>The following table illustrates how the concepts within the current "Solution Quality" category are thoughtfully redistributed across the new framework. This is not a loss of data, but a more strategic organization of it.</w:t>
      </w:r>
    </w:p>
    <w:p w14:paraId="11945BE7" w14:textId="77777777" w:rsidR="00552D6C" w:rsidRDefault="00552D6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51"/>
        <w:gridCol w:w="3687"/>
        <w:gridCol w:w="3388"/>
      </w:tblGrid>
      <w:tr w:rsidR="00552D6C" w14:paraId="3EA04F5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39675C1" w14:textId="77777777" w:rsidR="00552D6C" w:rsidRDefault="00300E5D">
            <w:pPr>
              <w:pStyle w:val="MdTableHeader"/>
            </w:pPr>
            <w:r>
              <w:t xml:space="preserve">Original </w:t>
            </w:r>
            <w:proofErr w:type="spellStart"/>
            <w:r>
              <w:t>TechLens</w:t>
            </w:r>
            <w:proofErr w:type="spellEnd"/>
            <w:r>
              <w:t xml:space="preserve"> Concept</w:t>
            </w:r>
          </w:p>
        </w:tc>
        <w:tc>
          <w:tcPr>
            <w:tcW w:w="0" w:type="auto"/>
            <w:tcMar>
              <w:top w:w="100" w:type="dxa"/>
              <w:left w:w="120" w:type="dxa"/>
              <w:bottom w:w="100" w:type="dxa"/>
              <w:right w:w="120" w:type="dxa"/>
            </w:tcMar>
            <w:vAlign w:val="center"/>
          </w:tcPr>
          <w:p w14:paraId="3E300F81" w14:textId="77777777" w:rsidR="00552D6C" w:rsidRDefault="00300E5D">
            <w:pPr>
              <w:pStyle w:val="MdTableHeader"/>
            </w:pPr>
            <w:r>
              <w:t>New Lens(es)</w:t>
            </w:r>
          </w:p>
        </w:tc>
        <w:tc>
          <w:tcPr>
            <w:tcW w:w="0" w:type="auto"/>
            <w:tcMar>
              <w:top w:w="100" w:type="dxa"/>
              <w:left w:w="120" w:type="dxa"/>
              <w:bottom w:w="100" w:type="dxa"/>
              <w:right w:w="120" w:type="dxa"/>
            </w:tcMar>
            <w:vAlign w:val="center"/>
          </w:tcPr>
          <w:p w14:paraId="54CFB003" w14:textId="77777777" w:rsidR="00552D6C" w:rsidRDefault="00300E5D">
            <w:pPr>
              <w:pStyle w:val="MdTableHeader"/>
            </w:pPr>
            <w:r>
              <w:t>Rationale</w:t>
            </w:r>
          </w:p>
        </w:tc>
      </w:tr>
      <w:tr w:rsidR="00552D6C" w14:paraId="7CF8C3C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116852" w14:textId="77777777" w:rsidR="00552D6C" w:rsidRDefault="00300E5D">
            <w:pPr>
              <w:pStyle w:val="MdTableCell"/>
            </w:pPr>
            <w:r>
              <w:rPr>
                <w:rStyle w:val="MdStrong"/>
              </w:rPr>
              <w:t>Code Quality &amp; Technical Debt</w:t>
            </w:r>
          </w:p>
        </w:tc>
        <w:tc>
          <w:tcPr>
            <w:tcW w:w="0" w:type="auto"/>
            <w:tcMar>
              <w:top w:w="80" w:type="dxa"/>
              <w:left w:w="120" w:type="dxa"/>
              <w:bottom w:w="80" w:type="dxa"/>
              <w:right w:w="120" w:type="dxa"/>
            </w:tcMar>
            <w:vAlign w:val="center"/>
          </w:tcPr>
          <w:p w14:paraId="61DBDAD8" w14:textId="77777777" w:rsidR="00552D6C" w:rsidRDefault="00300E5D">
            <w:pPr>
              <w:pStyle w:val="MdTableCell"/>
            </w:pPr>
            <w:r>
              <w:rPr>
                <w:rStyle w:val="MdStrong"/>
              </w:rPr>
              <w:t>Lens 2: Technology &amp; Architecture</w:t>
            </w:r>
          </w:p>
        </w:tc>
        <w:tc>
          <w:tcPr>
            <w:tcW w:w="0" w:type="auto"/>
            <w:tcMar>
              <w:top w:w="80" w:type="dxa"/>
              <w:left w:w="120" w:type="dxa"/>
              <w:bottom w:w="80" w:type="dxa"/>
              <w:right w:w="120" w:type="dxa"/>
            </w:tcMar>
            <w:vAlign w:val="center"/>
          </w:tcPr>
          <w:p w14:paraId="4A676E21" w14:textId="77777777" w:rsidR="00552D6C" w:rsidRDefault="00300E5D">
            <w:pPr>
              <w:pStyle w:val="MdTableCell"/>
            </w:pPr>
            <w:r>
              <w:t>These are core architectural quality indicators.</w:t>
            </w:r>
          </w:p>
        </w:tc>
      </w:tr>
      <w:tr w:rsidR="00552D6C" w14:paraId="6E3F983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7B7053" w14:textId="77777777" w:rsidR="00552D6C" w:rsidRDefault="00300E5D">
            <w:pPr>
              <w:pStyle w:val="MdTableCell"/>
            </w:pPr>
            <w:r>
              <w:rPr>
                <w:rStyle w:val="MdStrong"/>
              </w:rPr>
              <w:lastRenderedPageBreak/>
              <w:t>Testing &amp; Defect Management</w:t>
            </w:r>
          </w:p>
        </w:tc>
        <w:tc>
          <w:tcPr>
            <w:tcW w:w="0" w:type="auto"/>
            <w:tcMar>
              <w:top w:w="80" w:type="dxa"/>
              <w:left w:w="120" w:type="dxa"/>
              <w:bottom w:w="80" w:type="dxa"/>
              <w:right w:w="120" w:type="dxa"/>
            </w:tcMar>
            <w:vAlign w:val="center"/>
          </w:tcPr>
          <w:p w14:paraId="1091017D" w14:textId="77777777" w:rsidR="00552D6C" w:rsidRDefault="00300E5D">
            <w:pPr>
              <w:pStyle w:val="MdTableCell"/>
            </w:pPr>
            <w:r>
              <w:rPr>
                <w:rStyle w:val="MdStrong"/>
              </w:rPr>
              <w:t>Lens 3: Engineering &amp; Delivery</w:t>
            </w:r>
          </w:p>
        </w:tc>
        <w:tc>
          <w:tcPr>
            <w:tcW w:w="0" w:type="auto"/>
            <w:tcMar>
              <w:top w:w="80" w:type="dxa"/>
              <w:left w:w="120" w:type="dxa"/>
              <w:bottom w:w="80" w:type="dxa"/>
              <w:right w:w="120" w:type="dxa"/>
            </w:tcMar>
            <w:vAlign w:val="center"/>
          </w:tcPr>
          <w:p w14:paraId="25F2CA17" w14:textId="77777777" w:rsidR="00552D6C" w:rsidRDefault="00300E5D">
            <w:pPr>
              <w:pStyle w:val="MdTableCell"/>
            </w:pPr>
            <w:r>
              <w:t>These are delivery process metrics that reflect the team's ability to ship quality code.</w:t>
            </w:r>
          </w:p>
        </w:tc>
      </w:tr>
      <w:tr w:rsidR="00552D6C" w14:paraId="28D78E4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8C04BBB" w14:textId="77777777" w:rsidR="00552D6C" w:rsidRDefault="00300E5D">
            <w:pPr>
              <w:pStyle w:val="MdTableCell"/>
            </w:pPr>
            <w:r>
              <w:rPr>
                <w:rStyle w:val="MdStrong"/>
              </w:rPr>
              <w:t>Product Usability &amp; Fit</w:t>
            </w:r>
          </w:p>
        </w:tc>
        <w:tc>
          <w:tcPr>
            <w:tcW w:w="0" w:type="auto"/>
            <w:tcMar>
              <w:top w:w="80" w:type="dxa"/>
              <w:left w:w="120" w:type="dxa"/>
              <w:bottom w:w="80" w:type="dxa"/>
              <w:right w:w="120" w:type="dxa"/>
            </w:tcMar>
            <w:vAlign w:val="center"/>
          </w:tcPr>
          <w:p w14:paraId="24260A3F" w14:textId="77777777" w:rsidR="00552D6C" w:rsidRDefault="00300E5D">
            <w:pPr>
              <w:pStyle w:val="MdTableCell"/>
            </w:pPr>
            <w:r>
              <w:rPr>
                <w:rStyle w:val="MdStrong"/>
              </w:rPr>
              <w:t>Lens 8: Product &amp; Customer Experience</w:t>
            </w:r>
          </w:p>
        </w:tc>
        <w:tc>
          <w:tcPr>
            <w:tcW w:w="0" w:type="auto"/>
            <w:tcMar>
              <w:top w:w="80" w:type="dxa"/>
              <w:left w:w="120" w:type="dxa"/>
              <w:bottom w:w="80" w:type="dxa"/>
              <w:right w:w="120" w:type="dxa"/>
            </w:tcMar>
            <w:vAlign w:val="center"/>
          </w:tcPr>
          <w:p w14:paraId="6263C709" w14:textId="77777777" w:rsidR="00552D6C" w:rsidRDefault="00300E5D">
            <w:pPr>
              <w:pStyle w:val="MdTableCell"/>
            </w:pPr>
            <w:r>
              <w:t>This separates customer-facing quality from internal technical quality.</w:t>
            </w:r>
          </w:p>
        </w:tc>
      </w:tr>
      <w:tr w:rsidR="00552D6C" w14:paraId="35381F2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07AADE8" w14:textId="77777777" w:rsidR="00552D6C" w:rsidRDefault="00300E5D">
            <w:pPr>
              <w:pStyle w:val="MdTableCell"/>
            </w:pPr>
            <w:r>
              <w:rPr>
                <w:rStyle w:val="MdStrong"/>
              </w:rPr>
              <w:t>Performance &amp; Scalability</w:t>
            </w:r>
          </w:p>
        </w:tc>
        <w:tc>
          <w:tcPr>
            <w:tcW w:w="0" w:type="auto"/>
            <w:tcBorders>
              <w:bottom w:val="single" w:sz="4" w:space="0" w:color="E1E4E8"/>
            </w:tcBorders>
            <w:tcMar>
              <w:top w:w="80" w:type="dxa"/>
              <w:left w:w="120" w:type="dxa"/>
              <w:bottom w:w="80" w:type="dxa"/>
              <w:right w:w="120" w:type="dxa"/>
            </w:tcMar>
            <w:vAlign w:val="center"/>
          </w:tcPr>
          <w:p w14:paraId="2D6E953E" w14:textId="77777777" w:rsidR="00552D6C" w:rsidRDefault="00300E5D">
            <w:pPr>
              <w:pStyle w:val="MdTableCell"/>
            </w:pPr>
            <w:r>
              <w:rPr>
                <w:rStyle w:val="MdStrong"/>
              </w:rPr>
              <w:t>Lens 5: Infrastructure &amp; Technology</w:t>
            </w:r>
            <w:r>
              <w:t xml:space="preserve"> + </w:t>
            </w:r>
            <w:r>
              <w:rPr>
                <w:rStyle w:val="MdStrong"/>
              </w:rPr>
              <w:t>Lens 4: Operational Efficiency &amp; Scalability</w:t>
            </w:r>
          </w:p>
        </w:tc>
        <w:tc>
          <w:tcPr>
            <w:tcW w:w="0" w:type="auto"/>
            <w:tcBorders>
              <w:bottom w:val="single" w:sz="4" w:space="0" w:color="E1E4E8"/>
            </w:tcBorders>
            <w:tcMar>
              <w:top w:w="80" w:type="dxa"/>
              <w:left w:w="120" w:type="dxa"/>
              <w:bottom w:w="80" w:type="dxa"/>
              <w:right w:w="120" w:type="dxa"/>
            </w:tcMar>
            <w:vAlign w:val="center"/>
          </w:tcPr>
          <w:p w14:paraId="06603E06" w14:textId="77777777" w:rsidR="00552D6C" w:rsidRDefault="00300E5D">
            <w:pPr>
              <w:pStyle w:val="MdTableCell"/>
            </w:pPr>
            <w:r>
              <w:t>This splits the concept into technical scalability and cost-effective business scaling.</w:t>
            </w:r>
          </w:p>
        </w:tc>
      </w:tr>
    </w:tbl>
    <w:p w14:paraId="450F229C" w14:textId="77777777" w:rsidR="00552D6C" w:rsidRDefault="00300E5D">
      <w:pPr>
        <w:pStyle w:val="MdParagraph"/>
      </w:pPr>
      <w:r>
        <w:t xml:space="preserve">We believe this new framework will empower the deal advisory team to leverage the data they already collect to tell more compelling, contextual, and ultimately more convincing stories to our clients. The underlying data points from </w:t>
      </w:r>
      <w:proofErr w:type="spellStart"/>
      <w:r>
        <w:t>TechLens</w:t>
      </w:r>
      <w:proofErr w:type="spellEnd"/>
      <w:r>
        <w:t xml:space="preserve"> remain the critical building blocks of this enhanced analytical model.</w:t>
      </w:r>
    </w:p>
    <w:sectPr w:rsidR="00552D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48E"/>
    <w:multiLevelType w:val="multilevel"/>
    <w:tmpl w:val="9D100A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26C43C8"/>
    <w:multiLevelType w:val="hybridMultilevel"/>
    <w:tmpl w:val="1FCAE408"/>
    <w:lvl w:ilvl="0" w:tplc="96969EEA">
      <w:start w:val="1"/>
      <w:numFmt w:val="bullet"/>
      <w:lvlText w:val="•"/>
      <w:lvlJc w:val="left"/>
      <w:pPr>
        <w:ind w:left="720" w:hanging="360"/>
      </w:pPr>
    </w:lvl>
    <w:lvl w:ilvl="1" w:tplc="1C4C10A8">
      <w:start w:val="1"/>
      <w:numFmt w:val="bullet"/>
      <w:lvlText w:val="◦"/>
      <w:lvlJc w:val="left"/>
      <w:pPr>
        <w:ind w:left="1440" w:hanging="360"/>
      </w:pPr>
    </w:lvl>
    <w:lvl w:ilvl="2" w:tplc="67CC8FA6">
      <w:start w:val="1"/>
      <w:numFmt w:val="bullet"/>
      <w:lvlText w:val="•"/>
      <w:lvlJc w:val="left"/>
      <w:pPr>
        <w:ind w:left="2160" w:hanging="360"/>
      </w:pPr>
    </w:lvl>
    <w:lvl w:ilvl="3" w:tplc="7A7A243E">
      <w:start w:val="1"/>
      <w:numFmt w:val="bullet"/>
      <w:lvlText w:val="◦"/>
      <w:lvlJc w:val="left"/>
      <w:pPr>
        <w:ind w:left="2880" w:hanging="360"/>
      </w:pPr>
    </w:lvl>
    <w:lvl w:ilvl="4" w:tplc="E306FE54">
      <w:start w:val="1"/>
      <w:numFmt w:val="bullet"/>
      <w:lvlText w:val="•"/>
      <w:lvlJc w:val="left"/>
      <w:pPr>
        <w:ind w:left="3600" w:hanging="360"/>
      </w:pPr>
    </w:lvl>
    <w:lvl w:ilvl="5" w:tplc="6FF4871C">
      <w:start w:val="1"/>
      <w:numFmt w:val="bullet"/>
      <w:lvlText w:val="◦"/>
      <w:lvlJc w:val="left"/>
      <w:pPr>
        <w:ind w:left="4320" w:hanging="360"/>
      </w:pPr>
    </w:lvl>
    <w:lvl w:ilvl="6" w:tplc="A7F6F5A2">
      <w:start w:val="1"/>
      <w:numFmt w:val="bullet"/>
      <w:lvlText w:val="•"/>
      <w:lvlJc w:val="left"/>
      <w:pPr>
        <w:ind w:left="5040" w:hanging="360"/>
      </w:pPr>
    </w:lvl>
    <w:lvl w:ilvl="7" w:tplc="E828DA48">
      <w:numFmt w:val="decimal"/>
      <w:lvlText w:val=""/>
      <w:lvlJc w:val="left"/>
    </w:lvl>
    <w:lvl w:ilvl="8" w:tplc="8E607E60">
      <w:numFmt w:val="decimal"/>
      <w:lvlText w:val=""/>
      <w:lvlJc w:val="left"/>
    </w:lvl>
  </w:abstractNum>
  <w:abstractNum w:abstractNumId="2" w15:restartNumberingAfterBreak="0">
    <w:nsid w:val="5C2A7CAB"/>
    <w:multiLevelType w:val="hybridMultilevel"/>
    <w:tmpl w:val="557E3DC6"/>
    <w:lvl w:ilvl="0" w:tplc="3E023BB8">
      <w:start w:val="1"/>
      <w:numFmt w:val="bullet"/>
      <w:lvlText w:val="●"/>
      <w:lvlJc w:val="left"/>
      <w:pPr>
        <w:ind w:left="720" w:hanging="360"/>
      </w:pPr>
    </w:lvl>
    <w:lvl w:ilvl="1" w:tplc="6F74234C">
      <w:start w:val="1"/>
      <w:numFmt w:val="bullet"/>
      <w:lvlText w:val="○"/>
      <w:lvlJc w:val="left"/>
      <w:pPr>
        <w:ind w:left="1440" w:hanging="360"/>
      </w:pPr>
    </w:lvl>
    <w:lvl w:ilvl="2" w:tplc="66322AD6">
      <w:start w:val="1"/>
      <w:numFmt w:val="bullet"/>
      <w:lvlText w:val="■"/>
      <w:lvlJc w:val="left"/>
      <w:pPr>
        <w:ind w:left="2160" w:hanging="360"/>
      </w:pPr>
    </w:lvl>
    <w:lvl w:ilvl="3" w:tplc="BB94A32A">
      <w:start w:val="1"/>
      <w:numFmt w:val="bullet"/>
      <w:lvlText w:val="●"/>
      <w:lvlJc w:val="left"/>
      <w:pPr>
        <w:ind w:left="2880" w:hanging="360"/>
      </w:pPr>
    </w:lvl>
    <w:lvl w:ilvl="4" w:tplc="F18887FE">
      <w:start w:val="1"/>
      <w:numFmt w:val="bullet"/>
      <w:lvlText w:val="○"/>
      <w:lvlJc w:val="left"/>
      <w:pPr>
        <w:ind w:left="3600" w:hanging="360"/>
      </w:pPr>
    </w:lvl>
    <w:lvl w:ilvl="5" w:tplc="97A8746C">
      <w:start w:val="1"/>
      <w:numFmt w:val="bullet"/>
      <w:lvlText w:val="■"/>
      <w:lvlJc w:val="left"/>
      <w:pPr>
        <w:ind w:left="4320" w:hanging="360"/>
      </w:pPr>
    </w:lvl>
    <w:lvl w:ilvl="6" w:tplc="EFF4E586">
      <w:start w:val="1"/>
      <w:numFmt w:val="bullet"/>
      <w:lvlText w:val="●"/>
      <w:lvlJc w:val="left"/>
      <w:pPr>
        <w:ind w:left="5040" w:hanging="360"/>
      </w:pPr>
    </w:lvl>
    <w:lvl w:ilvl="7" w:tplc="FEEC6A4C">
      <w:start w:val="1"/>
      <w:numFmt w:val="bullet"/>
      <w:lvlText w:val="●"/>
      <w:lvlJc w:val="left"/>
      <w:pPr>
        <w:ind w:left="5760" w:hanging="360"/>
      </w:pPr>
    </w:lvl>
    <w:lvl w:ilvl="8" w:tplc="7FE61BD6">
      <w:start w:val="1"/>
      <w:numFmt w:val="bullet"/>
      <w:lvlText w:val="●"/>
      <w:lvlJc w:val="left"/>
      <w:pPr>
        <w:ind w:left="6480" w:hanging="360"/>
      </w:pPr>
    </w:lvl>
  </w:abstractNum>
  <w:num w:numId="1" w16cid:durableId="1209494103">
    <w:abstractNumId w:val="2"/>
    <w:lvlOverride w:ilvl="0">
      <w:startOverride w:val="1"/>
    </w:lvlOverride>
  </w:num>
  <w:num w:numId="2" w16cid:durableId="1188256753">
    <w:abstractNumId w:val="1"/>
    <w:lvlOverride w:ilvl="0">
      <w:startOverride w:val="1"/>
    </w:lvlOverride>
  </w:num>
  <w:num w:numId="3" w16cid:durableId="801727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D6C"/>
    <w:rsid w:val="00296812"/>
    <w:rsid w:val="00300E5D"/>
    <w:rsid w:val="00552D6C"/>
    <w:rsid w:val="00E61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AF11"/>
  <w15:docId w15:val="{BF1A7DDF-86A8-404D-9AC2-367BDC8C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osslaketech.com/tech-due-diligence/" TargetMode="External"/><Relationship Id="rId3" Type="http://schemas.openxmlformats.org/officeDocument/2006/relationships/settings" Target="settings.xml"/><Relationship Id="rId7" Type="http://schemas.openxmlformats.org/officeDocument/2006/relationships/hyperlink" Target="https://embrio.tech/en/ideas/information-technology-due-dilig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nacommunity.com/insights/complete-technology-due-diligence-checklist/" TargetMode="External"/><Relationship Id="rId5" Type="http://schemas.openxmlformats.org/officeDocument/2006/relationships/hyperlink" Target="https://www.kearney.com/service/digital-analytics/article/if-ai-can-improve-technical-diligences-is-private-equity-asking-the-right-questio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1960</Words>
  <Characters>11176</Characters>
  <Application>Microsoft Office Word</Application>
  <DocSecurity>0</DocSecurity>
  <Lines>93</Lines>
  <Paragraphs>26</Paragraphs>
  <ScaleCrop>false</ScaleCrop>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Shiva Balasubramaniyan</cp:lastModifiedBy>
  <cp:revision>2</cp:revision>
  <dcterms:created xsi:type="dcterms:W3CDTF">2026-01-16T13:54:00Z</dcterms:created>
  <dcterms:modified xsi:type="dcterms:W3CDTF">2026-01-16T13:54:00Z</dcterms:modified>
</cp:coreProperties>
</file>