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293B"/>
          <w:sz w:val="56"/>
        </w:rPr>
        <w:t>PROJECT HORIZON</w:t>
      </w:r>
    </w:p>
    <w:p>
      <w:pPr>
        <w:jc w:val="center"/>
      </w:pPr>
      <w:r>
        <w:rPr>
          <w:color w:val="475569"/>
          <w:sz w:val="44"/>
        </w:rPr>
        <w:t>Calibration Analysis</w:t>
      </w:r>
    </w:p>
    <w:p>
      <w:pPr>
        <w:jc w:val="center"/>
      </w:pPr>
      <w:r>
        <w:rPr>
          <w:color w:val="64748B"/>
          <w:sz w:val="28"/>
        </w:rPr>
        <w:t>Practitioner Findings vs. Agent Findings</w:t>
      </w:r>
    </w:p>
    <w:p/>
    <w:p>
      <w:pPr>
        <w:jc w:val="center"/>
      </w:pPr>
      <w:r>
        <w:rPr>
          <w:color w:val="94A3B8"/>
          <w:sz w:val="22"/>
        </w:rPr>
        <w:t>Prepared: April 07, 2026</w:t>
      </w:r>
    </w:p>
    <w:p>
      <w:pPr>
        <w:jc w:val="center"/>
      </w:pPr>
      <w:r>
        <w:rPr>
          <w:i/>
          <w:color w:val="94A3B8"/>
          <w:sz w:val="20"/>
        </w:rPr>
        <w:t>Private &amp; Confidential</w:t>
      </w:r>
    </w:p>
    <w:p>
      <w:r>
        <w:br w:type="page"/>
      </w:r>
    </w:p>
    <w:p>
      <w:pPr>
        <w:pStyle w:val="Heading1"/>
      </w:pPr>
      <w:r>
        <w:t>1. Executive Summary</w:t>
      </w:r>
    </w:p>
    <w:p>
      <w:r>
        <w:t>This calibration analysis compares the findings from Crosslake's practitioner-led Technology Due Diligence (TDD) assessment of Project Horizon against the automated findings produced by the VDR Intelligence Platform's agent-based scan. The goal is to identify where agents match practitioner judgment, where they fall short, and what structural improvements will close the gap.</w:t>
      </w:r>
    </w:p>
    <w:p>
      <w:pPr>
        <w:pStyle w:val="Heading2"/>
      </w:pPr>
      <w:r>
        <w:t>Scope</w:t>
      </w:r>
    </w:p>
    <w:p>
      <w:r>
        <w:t>Practitioner assessment: 9 domains, 64-page final report plus 28-page code scan report. Agent scan: 7 pillars, 90 signals, 26 domain findings, 27 chase questions, 4 compound risks. The agent scan processed 104 of 640 VDR documents (partial scan — 3 of 7 batches completed before a token-overflow error halted batch 4).</w:t>
      </w:r>
    </w:p>
    <w:p>
      <w:pPr>
        <w:pStyle w:val="Heading2"/>
      </w:pPr>
      <w:r>
        <w:t>Key Headline Metrics</w:t>
      </w:r>
    </w:p>
    <w:tbl>
      <w:tblPr>
        <w:tblStyle w:val="TableGrid"/>
        <w:tblW w:type="auto" w:w="0"/>
        <w:tblLook w:firstColumn="1" w:firstRow="1" w:lastColumn="0" w:lastRow="0" w:noHBand="0" w:noVBand="1" w:val="04A0"/>
      </w:tblPr>
      <w:tblGrid>
        <w:gridCol w:w="3135"/>
        <w:gridCol w:w="3135"/>
        <w:gridCol w:w="3135"/>
      </w:tblGrid>
      <w:tr>
        <w:tc>
          <w:tcPr>
            <w:tcW w:type="dxa" w:w="3135"/>
            <w:shd w:fill="1E293B"/>
          </w:tcPr>
          <w:p>
            <w:r>
              <w:rPr>
                <w:b/>
                <w:color w:val="FFFFFF"/>
                <w:sz w:val="18"/>
              </w:rPr>
              <w:t>Metric</w:t>
            </w:r>
          </w:p>
        </w:tc>
        <w:tc>
          <w:tcPr>
            <w:tcW w:type="dxa" w:w="3135"/>
            <w:shd w:fill="1E293B"/>
          </w:tcPr>
          <w:p>
            <w:r>
              <w:rPr>
                <w:b/>
                <w:color w:val="FFFFFF"/>
                <w:sz w:val="18"/>
              </w:rPr>
              <w:t>Practitioner</w:t>
            </w:r>
          </w:p>
        </w:tc>
        <w:tc>
          <w:tcPr>
            <w:tcW w:type="dxa" w:w="3135"/>
            <w:shd w:fill="1E293B"/>
          </w:tcPr>
          <w:p>
            <w:r>
              <w:rPr>
                <w:b/>
                <w:color w:val="FFFFFF"/>
                <w:sz w:val="18"/>
              </w:rPr>
              <w:t>Agent</w:t>
            </w:r>
          </w:p>
        </w:tc>
      </w:tr>
      <w:tr>
        <w:tc>
          <w:tcPr>
            <w:tcW w:type="dxa" w:w="3135"/>
          </w:tcPr>
          <w:p>
            <w:r>
              <w:t>Overall Rating</w:t>
            </w:r>
          </w:p>
        </w:tc>
        <w:tc>
          <w:tcPr>
            <w:tcW w:type="dxa" w:w="3135"/>
          </w:tcPr>
          <w:p>
            <w:r>
              <w:t>YELLOW (with RED codebase)</w:t>
            </w:r>
          </w:p>
        </w:tc>
        <w:tc>
          <w:tcPr>
            <w:tcW w:type="dxa" w:w="3135"/>
          </w:tcPr>
          <w:p>
            <w:r>
              <w:t>RED (compound risk escalation)</w:t>
            </w:r>
          </w:p>
        </w:tc>
      </w:tr>
      <w:tr>
        <w:tc>
          <w:tcPr>
            <w:tcW w:type="dxa" w:w="3135"/>
          </w:tcPr>
          <w:p>
            <w:r>
              <w:t>Domains / Pillars Assessed</w:t>
            </w:r>
          </w:p>
        </w:tc>
        <w:tc>
          <w:tcPr>
            <w:tcW w:type="dxa" w:w="3135"/>
          </w:tcPr>
          <w:p>
            <w:r>
              <w:t>9 domains</w:t>
            </w:r>
          </w:p>
        </w:tc>
        <w:tc>
          <w:tcPr>
            <w:tcW w:type="dxa" w:w="3135"/>
          </w:tcPr>
          <w:p>
            <w:r>
              <w:t>7 pillars (R&amp;D Spend = NO_DATA)</w:t>
            </w:r>
          </w:p>
        </w:tc>
      </w:tr>
      <w:tr>
        <w:tc>
          <w:tcPr>
            <w:tcW w:type="dxa" w:w="3135"/>
          </w:tcPr>
          <w:p>
            <w:r>
              <w:t>Severity Levels Used</w:t>
            </w:r>
          </w:p>
        </w:tc>
        <w:tc>
          <w:tcPr>
            <w:tcW w:type="dxa" w:w="3135"/>
          </w:tcPr>
          <w:p>
            <w:r>
              <w:t>GREEN / YELLOW / RED</w:t>
            </w:r>
          </w:p>
        </w:tc>
        <w:tc>
          <w:tcPr>
            <w:tcW w:type="dxa" w:w="3135"/>
          </w:tcPr>
          <w:p>
            <w:r>
              <w:t>GREEN / YELLOW / RED + CRITICAL / HIGH / MEDIUM / LOW</w:t>
            </w:r>
          </w:p>
        </w:tc>
      </w:tr>
      <w:tr>
        <w:tc>
          <w:tcPr>
            <w:tcW w:type="dxa" w:w="3135"/>
          </w:tcPr>
          <w:p>
            <w:r>
              <w:t>Critical Findings</w:t>
            </w:r>
          </w:p>
        </w:tc>
        <w:tc>
          <w:tcPr>
            <w:tcW w:type="dxa" w:w="3135"/>
          </w:tcPr>
          <w:p>
            <w:r>
              <w:t>Codebase (OSS Critical, SAST Critical)</w:t>
            </w:r>
          </w:p>
        </w:tc>
        <w:tc>
          <w:tcPr>
            <w:tcW w:type="dxa" w:w="3135"/>
          </w:tcPr>
          <w:p>
            <w:r>
              <w:t>PHI data mis-routing, AI governance gap, pen-test vulns</w:t>
            </w:r>
          </w:p>
        </w:tc>
      </w:tr>
      <w:tr>
        <w:tc>
          <w:tcPr>
            <w:tcW w:type="dxa" w:w="3135"/>
          </w:tcPr>
          <w:p>
            <w:r>
              <w:t>Total Signals / Findings</w:t>
            </w:r>
          </w:p>
        </w:tc>
        <w:tc>
          <w:tcPr>
            <w:tcW w:type="dxa" w:w="3135"/>
          </w:tcPr>
          <w:p>
            <w:r>
              <w:t>~45 discrete findings across report</w:t>
            </w:r>
          </w:p>
        </w:tc>
        <w:tc>
          <w:tcPr>
            <w:tcW w:type="dxa" w:w="3135"/>
          </w:tcPr>
          <w:p>
            <w:r>
              <w:t>90 signals, 26 findings, 27 chase Qs</w:t>
            </w:r>
          </w:p>
        </w:tc>
      </w:tr>
      <w:tr>
        <w:tc>
          <w:tcPr>
            <w:tcW w:type="dxa" w:w="3135"/>
          </w:tcPr>
          <w:p>
            <w:r>
              <w:t>Code Scan Coverage</w:t>
            </w:r>
          </w:p>
        </w:tc>
        <w:tc>
          <w:tcPr>
            <w:tcW w:type="dxa" w:w="3135"/>
          </w:tcPr>
          <w:p>
            <w:r>
              <w:t>Full CAST scan: 2662 weaknesses, 837 libraries</w:t>
            </w:r>
          </w:p>
        </w:tc>
        <w:tc>
          <w:tcPr>
            <w:tcW w:type="dxa" w:w="3135"/>
          </w:tcPr>
          <w:p>
            <w:r>
              <w:t>Referenced pen-test results only (no source code access)</w:t>
            </w:r>
          </w:p>
        </w:tc>
      </w:tr>
      <w:tr>
        <w:tc>
          <w:tcPr>
            <w:tcW w:type="dxa" w:w="3135"/>
          </w:tcPr>
          <w:p>
            <w:r>
              <w:t>Cost Data Granularity</w:t>
            </w:r>
          </w:p>
        </w:tc>
        <w:tc>
          <w:tcPr>
            <w:tcW w:type="dxa" w:w="3135"/>
          </w:tcPr>
          <w:p>
            <w:r>
              <w:t>AWS monthly breakdown, R&amp;D labor split, dev tools</w:t>
            </w:r>
          </w:p>
        </w:tc>
        <w:tc>
          <w:tcPr>
            <w:tcW w:type="dxa" w:w="3135"/>
          </w:tcPr>
          <w:p>
            <w:r>
              <w:t>AWS cost volatility signal only</w:t>
            </w:r>
          </w:p>
        </w:tc>
      </w:tr>
      <w:tr>
        <w:tc>
          <w:tcPr>
            <w:tcW w:type="dxa" w:w="3135"/>
          </w:tcPr>
          <w:p>
            <w:r>
              <w:t>Org Structure Depth</w:t>
            </w:r>
          </w:p>
        </w:tc>
        <w:tc>
          <w:tcPr>
            <w:tcW w:type="dxa" w:w="3135"/>
          </w:tcPr>
          <w:p>
            <w:r>
              <w:t>Full org chart, headcount by function, FTE/contractor split</w:t>
            </w:r>
          </w:p>
        </w:tc>
        <w:tc>
          <w:tcPr>
            <w:tcW w:type="dxa" w:w="3135"/>
          </w:tcPr>
          <w:p>
            <w:r>
              <w:t>CTO succession gap only</w:t>
            </w:r>
          </w:p>
        </w:tc>
      </w:tr>
    </w:tbl>
    <w:p/>
    <w:p>
      <w:r>
        <w:t>Bottom line: The agent correctly identified the majority of high-risk themes — PHI data handling, infrastructure cost volatility, security gaps, and tech debt — but lacked the depth of practitioner analysis in organization structure, codebase assessment (no source access), and spend economics. The agent also surfaced findings the practitioners did not emphasize, particularly around AI governance and disaster recovery gaps.</w:t>
      </w:r>
    </w:p>
    <w:p>
      <w:r>
        <w:br w:type="page"/>
      </w:r>
    </w:p>
    <w:p>
      <w:pPr>
        <w:pStyle w:val="Heading1"/>
      </w:pPr>
      <w:r>
        <w:t>2. Domain-to-Pillar Mapping</w:t>
      </w:r>
    </w:p>
    <w:p>
      <w:r>
        <w:t>The practitioner framework uses 9 domains; the agent uses 7 pillars. The table below shows the alignment, including gaps where one framework covers areas the other does not.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E293B"/>
          </w:tcPr>
          <w:p>
            <w:r>
              <w:rPr>
                <w:b/>
                <w:color w:val="FFFFFF"/>
                <w:sz w:val="18"/>
              </w:rPr>
              <w:t>Practitioner Domain</w:t>
            </w:r>
          </w:p>
        </w:tc>
        <w:tc>
          <w:tcPr>
            <w:tcW w:type="dxa" w:w="2351"/>
            <w:shd w:fill="1E293B"/>
          </w:tcPr>
          <w:p>
            <w:r>
              <w:rPr>
                <w:b/>
                <w:color w:val="FFFFFF"/>
                <w:sz w:val="18"/>
              </w:rPr>
              <w:t>Practitioner Rating</w:t>
            </w:r>
          </w:p>
        </w:tc>
        <w:tc>
          <w:tcPr>
            <w:tcW w:type="dxa" w:w="2351"/>
            <w:shd w:fill="1E293B"/>
          </w:tcPr>
          <w:p>
            <w:r>
              <w:rPr>
                <w:b/>
                <w:color w:val="FFFFFF"/>
                <w:sz w:val="18"/>
              </w:rPr>
              <w:t>Agent Pillar(s)</w:t>
            </w:r>
          </w:p>
        </w:tc>
        <w:tc>
          <w:tcPr>
            <w:tcW w:type="dxa" w:w="2351"/>
            <w:shd w:fill="1E293B"/>
          </w:tcPr>
          <w:p>
            <w:r>
              <w:rPr>
                <w:b/>
                <w:color w:val="FFFFFF"/>
                <w:sz w:val="18"/>
              </w:rPr>
              <w:t>Agent Rating</w:t>
            </w:r>
          </w:p>
        </w:tc>
      </w:tr>
      <w:tr>
        <w:tc>
          <w:tcPr>
            <w:tcW w:type="dxa" w:w="2351"/>
          </w:tcPr>
          <w:p>
            <w:r>
              <w:t>Solution Overview</w:t>
            </w:r>
          </w:p>
        </w:tc>
        <w:tc>
          <w:tcPr>
            <w:tcW w:type="dxa" w:w="2351"/>
          </w:tcPr>
          <w:p>
            <w:r>
              <w:t>GREEN</w:t>
            </w:r>
          </w:p>
        </w:tc>
        <w:tc>
          <w:tcPr>
            <w:tcW w:type="dxa" w:w="2351"/>
          </w:tcPr>
          <w:p>
            <w:r>
              <w:t>N/A (no direct pillar)</w:t>
            </w:r>
          </w:p>
        </w:tc>
        <w:tc>
          <w:tcPr>
            <w:tcW w:type="dxa" w:w="2351"/>
          </w:tcPr>
          <w:p>
            <w:r>
              <w:t>—</w:t>
            </w:r>
          </w:p>
        </w:tc>
      </w:tr>
      <w:tr>
        <w:tc>
          <w:tcPr>
            <w:tcW w:type="dxa" w:w="2351"/>
          </w:tcPr>
          <w:p>
            <w:r>
              <w:t>Technology &amp; Architecture</w:t>
            </w:r>
          </w:p>
        </w:tc>
        <w:tc>
          <w:tcPr>
            <w:tcW w:type="dxa" w:w="2351"/>
          </w:tcPr>
          <w:p>
            <w:r>
              <w:t>YELLOW</w:t>
            </w:r>
          </w:p>
        </w:tc>
        <w:tc>
          <w:tcPr>
            <w:tcW w:type="dxa" w:w="2351"/>
          </w:tcPr>
          <w:p>
            <w:r>
              <w:t>TechnologyArchitecture</w:t>
            </w:r>
          </w:p>
        </w:tc>
        <w:tc>
          <w:tcPr>
            <w:tcW w:type="dxa" w:w="2351"/>
          </w:tcPr>
          <w:p>
            <w:r>
              <w:t>YELLOW</w:t>
            </w:r>
          </w:p>
        </w:tc>
      </w:tr>
      <w:tr>
        <w:tc>
          <w:tcPr>
            <w:tcW w:type="dxa" w:w="2351"/>
          </w:tcPr>
          <w:p>
            <w:r>
              <w:t>Roadmap</w:t>
            </w:r>
          </w:p>
        </w:tc>
        <w:tc>
          <w:tcPr>
            <w:tcW w:type="dxa" w:w="2351"/>
          </w:tcPr>
          <w:p>
            <w:r>
              <w:t>YELLOW</w:t>
            </w:r>
          </w:p>
        </w:tc>
        <w:tc>
          <w:tcPr>
            <w:tcW w:type="dxa" w:w="2351"/>
          </w:tcPr>
          <w:p>
            <w:r>
              <w:t>SDLCProductManagement (partial)</w:t>
            </w:r>
          </w:p>
        </w:tc>
        <w:tc>
          <w:tcPr>
            <w:tcW w:type="dxa" w:w="2351"/>
          </w:tcPr>
          <w:p>
            <w:r>
              <w:t>YELLOW</w:t>
            </w:r>
          </w:p>
        </w:tc>
      </w:tr>
      <w:tr>
        <w:tc>
          <w:tcPr>
            <w:tcW w:type="dxa" w:w="2351"/>
          </w:tcPr>
          <w:p>
            <w:r>
              <w:t>Organization &amp; Process</w:t>
            </w:r>
          </w:p>
        </w:tc>
        <w:tc>
          <w:tcPr>
            <w:tcW w:type="dxa" w:w="2351"/>
          </w:tcPr>
          <w:p>
            <w:r>
              <w:t>YELLOW</w:t>
            </w:r>
          </w:p>
        </w:tc>
        <w:tc>
          <w:tcPr>
            <w:tcW w:type="dxa" w:w="2351"/>
          </w:tcPr>
          <w:p>
            <w:r>
              <w:t>OrganizationTalent</w:t>
            </w:r>
          </w:p>
        </w:tc>
        <w:tc>
          <w:tcPr>
            <w:tcW w:type="dxa" w:w="2351"/>
          </w:tcPr>
          <w:p>
            <w:r>
              <w:t>YELLOW</w:t>
            </w:r>
          </w:p>
        </w:tc>
      </w:tr>
      <w:tr>
        <w:tc>
          <w:tcPr>
            <w:tcW w:type="dxa" w:w="2351"/>
          </w:tcPr>
          <w:p>
            <w:r>
              <w:t>Security &amp; Compliance</w:t>
            </w:r>
          </w:p>
        </w:tc>
        <w:tc>
          <w:tcPr>
            <w:tcW w:type="dxa" w:w="2351"/>
          </w:tcPr>
          <w:p>
            <w:r>
              <w:t>GREEN</w:t>
            </w:r>
          </w:p>
        </w:tc>
        <w:tc>
          <w:tcPr>
            <w:tcW w:type="dxa" w:w="2351"/>
          </w:tcPr>
          <w:p>
            <w:r>
              <w:t>SecurityCompliance</w:t>
            </w:r>
          </w:p>
        </w:tc>
        <w:tc>
          <w:tcPr>
            <w:tcW w:type="dxa" w:w="2351"/>
          </w:tcPr>
          <w:p>
            <w:r>
              <w:t>YELLOW</w:t>
            </w:r>
          </w:p>
        </w:tc>
      </w:tr>
      <w:tr>
        <w:tc>
          <w:tcPr>
            <w:tcW w:type="dxa" w:w="2351"/>
          </w:tcPr>
          <w:p>
            <w:r>
              <w:t>Codebase Assessment</w:t>
            </w:r>
          </w:p>
        </w:tc>
        <w:tc>
          <w:tcPr>
            <w:tcW w:type="dxa" w:w="2351"/>
          </w:tcPr>
          <w:p>
            <w:r>
              <w:t>RED (Critical)</w:t>
            </w:r>
          </w:p>
        </w:tc>
        <w:tc>
          <w:tcPr>
            <w:tcW w:type="dxa" w:w="2351"/>
          </w:tcPr>
          <w:p>
            <w:r>
              <w:t>SDLCProductManagement (partial)</w:t>
            </w:r>
          </w:p>
        </w:tc>
        <w:tc>
          <w:tcPr>
            <w:tcW w:type="dxa" w:w="2351"/>
          </w:tcPr>
          <w:p>
            <w:r>
              <w:t>YELLOW</w:t>
            </w:r>
          </w:p>
        </w:tc>
      </w:tr>
      <w:tr>
        <w:tc>
          <w:tcPr>
            <w:tcW w:type="dxa" w:w="2351"/>
          </w:tcPr>
          <w:p>
            <w:r>
              <w:t>Spend Analysis</w:t>
            </w:r>
          </w:p>
        </w:tc>
        <w:tc>
          <w:tcPr>
            <w:tcW w:type="dxa" w:w="2351"/>
          </w:tcPr>
          <w:p>
            <w:r>
              <w:t>YELLOW</w:t>
            </w:r>
          </w:p>
        </w:tc>
        <w:tc>
          <w:tcPr>
            <w:tcW w:type="dxa" w:w="2351"/>
          </w:tcPr>
          <w:p>
            <w:r>
              <w:t>RDSpendAssessment</w:t>
            </w:r>
          </w:p>
        </w:tc>
        <w:tc>
          <w:tcPr>
            <w:tcW w:type="dxa" w:w="2351"/>
          </w:tcPr>
          <w:p>
            <w:r>
              <w:t>NO_DATA</w:t>
            </w:r>
          </w:p>
        </w:tc>
      </w:tr>
      <w:tr>
        <w:tc>
          <w:tcPr>
            <w:tcW w:type="dxa" w:w="2351"/>
          </w:tcPr>
          <w:p>
            <w:r>
              <w:t>Product Infrastructure</w:t>
            </w:r>
          </w:p>
        </w:tc>
        <w:tc>
          <w:tcPr>
            <w:tcW w:type="dxa" w:w="2351"/>
          </w:tcPr>
          <w:p>
            <w:r>
              <w:t>YELLOW</w:t>
            </w:r>
          </w:p>
        </w:tc>
        <w:tc>
          <w:tcPr>
            <w:tcW w:type="dxa" w:w="2351"/>
          </w:tcPr>
          <w:p>
            <w:r>
              <w:t>InfrastructureDeployment + TechnologyArchitecture</w:t>
            </w:r>
          </w:p>
        </w:tc>
        <w:tc>
          <w:tcPr>
            <w:tcW w:type="dxa" w:w="2351"/>
          </w:tcPr>
          <w:p>
            <w:r>
              <w:t>YELLOW</w:t>
            </w:r>
          </w:p>
        </w:tc>
      </w:tr>
      <w:tr>
        <w:tc>
          <w:tcPr>
            <w:tcW w:type="dxa" w:w="2351"/>
          </w:tcPr>
          <w:p>
            <w:r>
              <w:t>Enterprise IT</w:t>
            </w:r>
          </w:p>
        </w:tc>
        <w:tc>
          <w:tcPr>
            <w:tcW w:type="dxa" w:w="2351"/>
          </w:tcPr>
          <w:p>
            <w:r>
              <w:t>GREEN</w:t>
            </w:r>
          </w:p>
        </w:tc>
        <w:tc>
          <w:tcPr>
            <w:tcW w:type="dxa" w:w="2351"/>
          </w:tcPr>
          <w:p>
            <w:r>
              <w:t>TechnologyArchitecture (partial)</w:t>
            </w:r>
          </w:p>
        </w:tc>
        <w:tc>
          <w:tcPr>
            <w:tcW w:type="dxa" w:w="2351"/>
          </w:tcPr>
          <w:p>
            <w:r>
              <w:t>YELLOW</w:t>
            </w:r>
          </w:p>
        </w:tc>
      </w:tr>
    </w:tbl>
    <w:p/>
    <w:p>
      <w:r>
        <w:t>Key structural gaps: (1) The agent has no 'Solution Overview' pillar — product context is inferred but not explicitly scored. (2) 'Codebase Assessment' maps poorly because agents lack source code access. (3) 'Spend Analysis' returned NO_DATA, meaning agents found zero relevant VDR documents in the partial scan. (4) The agent includes DataAIReadiness as a separate pillar that has no direct practitioner equivalent — practitioners cover AI within Technology &amp; Architecture.</w:t>
      </w:r>
    </w:p>
    <w:p>
      <w:r>
        <w:br w:type="page"/>
      </w:r>
    </w:p>
    <w:p>
      <w:pPr>
        <w:pStyle w:val="Heading1"/>
      </w:pPr>
      <w:r>
        <w:t>3. Dimension 1 — Coverage Match</w:t>
      </w:r>
    </w:p>
    <w:p>
      <w:r>
        <w:t>This dimension evaluates whether the agent identified the same topics and risk areas as the practitioners, regardless of severity.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E293B"/>
          </w:tcPr>
          <w:p>
            <w:r>
              <w:rPr>
                <w:b/>
                <w:color w:val="FFFFFF"/>
                <w:sz w:val="18"/>
              </w:rPr>
              <w:t>Finding Theme</w:t>
            </w:r>
          </w:p>
        </w:tc>
        <w:tc>
          <w:tcPr>
            <w:tcW w:type="dxa" w:w="2351"/>
            <w:shd w:fill="1E293B"/>
          </w:tcPr>
          <w:p>
            <w:r>
              <w:rPr>
                <w:b/>
                <w:color w:val="FFFFFF"/>
                <w:sz w:val="18"/>
              </w:rPr>
              <w:t>Practitioner Found?</w:t>
            </w:r>
          </w:p>
        </w:tc>
        <w:tc>
          <w:tcPr>
            <w:tcW w:type="dxa" w:w="2351"/>
            <w:shd w:fill="1E293B"/>
          </w:tcPr>
          <w:p>
            <w:r>
              <w:rPr>
                <w:b/>
                <w:color w:val="FFFFFF"/>
                <w:sz w:val="18"/>
              </w:rPr>
              <w:t>Agent Found?</w:t>
            </w:r>
          </w:p>
        </w:tc>
        <w:tc>
          <w:tcPr>
            <w:tcW w:type="dxa" w:w="2351"/>
            <w:shd w:fill="1E293B"/>
          </w:tcPr>
          <w:p>
            <w:r>
              <w:rPr>
                <w:b/>
                <w:color w:val="FFFFFF"/>
                <w:sz w:val="18"/>
              </w:rPr>
              <w:t>Notes</w:t>
            </w:r>
          </w:p>
        </w:tc>
      </w:tr>
      <w:tr>
        <w:tc>
          <w:tcPr>
            <w:tcW w:type="dxa" w:w="2351"/>
          </w:tcPr>
          <w:p>
            <w:r>
              <w:t>AWS cost volatility ($77K–$362K/mo)</w:t>
            </w:r>
          </w:p>
        </w:tc>
        <w:tc>
          <w:tcPr>
            <w:tcW w:type="dxa" w:w="2351"/>
          </w:tcPr>
          <w:p>
            <w:r>
              <w:t>YES — detailed monthly breakdown, credits noted</w:t>
            </w:r>
          </w:p>
        </w:tc>
        <w:tc>
          <w:tcPr>
            <w:tcW w:type="dxa" w:w="2351"/>
          </w:tcPr>
          <w:p>
            <w:r>
              <w:t>YES — HIGH signal</w:t>
            </w:r>
          </w:p>
        </w:tc>
        <w:tc>
          <w:tcPr>
            <w:tcW w:type="dxa" w:w="2351"/>
          </w:tcPr>
          <w:p>
            <w:r>
              <w:t>Agent caught the pattern but not $ granularity</w:t>
            </w:r>
          </w:p>
        </w:tc>
      </w:tr>
      <w:tr>
        <w:tc>
          <w:tcPr>
            <w:tcW w:type="dxa" w:w="2351"/>
          </w:tcPr>
          <w:p>
            <w:r>
              <w:t>Dual infrastructure (CSpire + AWS)</w:t>
            </w:r>
          </w:p>
        </w:tc>
        <w:tc>
          <w:tcPr>
            <w:tcW w:type="dxa" w:w="2351"/>
          </w:tcPr>
          <w:p>
            <w:r>
              <w:t>YES — detailed CSpire DC architecture, migration status</w:t>
            </w:r>
          </w:p>
        </w:tc>
        <w:tc>
          <w:tcPr>
            <w:tcW w:type="dxa" w:w="2351"/>
          </w:tcPr>
          <w:p>
            <w:r>
              <w:t>YES — HIGH finding</w:t>
            </w:r>
          </w:p>
        </w:tc>
        <w:tc>
          <w:tcPr>
            <w:tcW w:type="dxa" w:w="2351"/>
          </w:tcPr>
          <w:p>
            <w:r>
              <w:t>Agent flagged cost; practitioner added operational detail</w:t>
            </w:r>
          </w:p>
        </w:tc>
      </w:tr>
      <w:tr>
        <w:tc>
          <w:tcPr>
            <w:tcW w:type="dxa" w:w="2351"/>
          </w:tcPr>
          <w:p>
            <w:r>
              <w:t>Tech debt (.NET 4.8, WinForms, legacy APIs)</w:t>
            </w:r>
          </w:p>
        </w:tc>
        <w:tc>
          <w:tcPr>
            <w:tcW w:type="dxa" w:w="2351"/>
          </w:tcPr>
          <w:p>
            <w:r>
              <w:t>YES — 11-item table with cost estimates ($745K total)</w:t>
            </w:r>
          </w:p>
        </w:tc>
        <w:tc>
          <w:tcPr>
            <w:tcW w:type="dxa" w:w="2351"/>
          </w:tcPr>
          <w:p>
            <w:r>
              <w:t>YES — MEDIUM finding</w:t>
            </w:r>
          </w:p>
        </w:tc>
        <w:tc>
          <w:tcPr>
            <w:tcW w:type="dxa" w:w="2351"/>
          </w:tcPr>
          <w:p>
            <w:r>
              <w:t>Agent generic; practitioner had item-level remediation costs</w:t>
            </w:r>
          </w:p>
        </w:tc>
      </w:tr>
      <w:tr>
        <w:tc>
          <w:tcPr>
            <w:tcW w:type="dxa" w:w="2351"/>
          </w:tcPr>
          <w:p>
            <w:r>
              <w:t>Clariti GCP migration planned</w:t>
            </w:r>
          </w:p>
        </w:tc>
        <w:tc>
          <w:tcPr>
            <w:tcW w:type="dxa" w:w="2351"/>
          </w:tcPr>
          <w:p>
            <w:r>
              <w:t>YES — full page on GCP architecture + migration plan</w:t>
            </w:r>
          </w:p>
        </w:tc>
        <w:tc>
          <w:tcPr>
            <w:tcW w:type="dxa" w:w="2351"/>
          </w:tcPr>
          <w:p>
            <w:r>
              <w:t>PARTIAL — mentioned in tech debt</w:t>
            </w:r>
          </w:p>
        </w:tc>
        <w:tc>
          <w:tcPr>
            <w:tcW w:type="dxa" w:w="2351"/>
          </w:tcPr>
          <w:p>
            <w:r>
              <w:t>Agent did not isolate as separate risk</w:t>
            </w:r>
          </w:p>
        </w:tc>
      </w:tr>
      <w:tr>
        <w:tc>
          <w:tcPr>
            <w:tcW w:type="dxa" w:w="2351"/>
          </w:tcPr>
          <w:p>
            <w:r>
              <w:t>Multi-cloud complexity (AWS + GCP + CSpire)</w:t>
            </w:r>
          </w:p>
        </w:tc>
        <w:tc>
          <w:tcPr>
            <w:tcW w:type="dxa" w:w="2351"/>
          </w:tcPr>
          <w:p>
            <w:r>
              <w:t>YES — 3 separate infrastructure pages</w:t>
            </w:r>
          </w:p>
        </w:tc>
        <w:tc>
          <w:tcPr>
            <w:tcW w:type="dxa" w:w="2351"/>
          </w:tcPr>
          <w:p>
            <w:r>
              <w:t>PARTIAL — dual-cost burden only</w:t>
            </w:r>
          </w:p>
        </w:tc>
        <w:tc>
          <w:tcPr>
            <w:tcW w:type="dxa" w:w="2351"/>
          </w:tcPr>
          <w:p>
            <w:r>
              <w:t>Agent missed GCP as third environment</w:t>
            </w:r>
          </w:p>
        </w:tc>
      </w:tr>
      <w:tr>
        <w:tc>
          <w:tcPr>
            <w:tcW w:type="dxa" w:w="2351"/>
          </w:tcPr>
          <w:p>
            <w:r>
              <w:t>SOC2 / HITRUST / HIPAA compliance</w:t>
            </w:r>
          </w:p>
        </w:tc>
        <w:tc>
          <w:tcPr>
            <w:tcW w:type="dxa" w:w="2351"/>
          </w:tcPr>
          <w:p>
            <w:r>
              <w:t>YES — GREEN, detailed control-by-control tables</w:t>
            </w:r>
          </w:p>
        </w:tc>
        <w:tc>
          <w:tcPr>
            <w:tcW w:type="dxa" w:w="2351"/>
          </w:tcPr>
          <w:p>
            <w:r>
              <w:t>YES — noted certifications</w:t>
            </w:r>
          </w:p>
        </w:tc>
        <w:tc>
          <w:tcPr>
            <w:tcW w:type="dxa" w:w="2351"/>
          </w:tcPr>
          <w:p>
            <w:r>
              <w:t>Match — both confirmed strong compliance foundation</w:t>
            </w:r>
          </w:p>
        </w:tc>
      </w:tr>
      <w:tr>
        <w:tc>
          <w:tcPr>
            <w:tcW w:type="dxa" w:w="2351"/>
          </w:tcPr>
          <w:p>
            <w:r>
              <w:t>PHI data mis-routing incidents</w:t>
            </w:r>
          </w:p>
        </w:tc>
        <w:tc>
          <w:tcPr>
            <w:tcW w:type="dxa" w:w="2351"/>
          </w:tcPr>
          <w:p>
            <w:r>
              <w:t>NOT EMPHASIZED — not called out as major finding</w:t>
            </w:r>
          </w:p>
        </w:tc>
        <w:tc>
          <w:tcPr>
            <w:tcW w:type="dxa" w:w="2351"/>
          </w:tcPr>
          <w:p>
            <w:r>
              <w:t>YES — CRITICAL (31 incidents, 26 PHI breaches)</w:t>
            </w:r>
          </w:p>
        </w:tc>
        <w:tc>
          <w:tcPr>
            <w:tcW w:type="dxa" w:w="2351"/>
          </w:tcPr>
          <w:p>
            <w:r>
              <w:t>Agent found what practitioners did NOT highlight</w:t>
            </w:r>
          </w:p>
        </w:tc>
      </w:tr>
      <w:tr>
        <w:tc>
          <w:tcPr>
            <w:tcW w:type="dxa" w:w="2351"/>
          </w:tcPr>
          <w:p>
            <w:r>
              <w:t>MFA not enforced for customers</w:t>
            </w:r>
          </w:p>
        </w:tc>
        <w:tc>
          <w:tcPr>
            <w:tcW w:type="dxa" w:w="2351"/>
          </w:tcPr>
          <w:p>
            <w:r>
              <w:t>YES — called out as recommendation</w:t>
            </w:r>
          </w:p>
        </w:tc>
        <w:tc>
          <w:tcPr>
            <w:tcW w:type="dxa" w:w="2351"/>
          </w:tcPr>
          <w:p>
            <w:r>
              <w:t>YES — MEDIUM security gap signal</w:t>
            </w:r>
          </w:p>
        </w:tc>
        <w:tc>
          <w:tcPr>
            <w:tcW w:type="dxa" w:w="2351"/>
          </w:tcPr>
          <w:p>
            <w:r>
              <w:t>Match</w:t>
            </w:r>
          </w:p>
        </w:tc>
      </w:tr>
      <w:tr>
        <w:tc>
          <w:tcPr>
            <w:tcW w:type="dxa" w:w="2351"/>
          </w:tcPr>
          <w:p>
            <w:r>
              <w:t>SOC/SIEM migration from CSpire needed</w:t>
            </w:r>
          </w:p>
        </w:tc>
        <w:tc>
          <w:tcPr>
            <w:tcW w:type="dxa" w:w="2351"/>
          </w:tcPr>
          <w:p>
            <w:r>
              <w:t>YES — specific recommendation with timeline</w:t>
            </w:r>
          </w:p>
        </w:tc>
        <w:tc>
          <w:tcPr>
            <w:tcW w:type="dxa" w:w="2351"/>
          </w:tcPr>
          <w:p>
            <w:r>
              <w:t>YES — MEDIUM (missing SIEM in cloud)</w:t>
            </w:r>
          </w:p>
        </w:tc>
        <w:tc>
          <w:tcPr>
            <w:tcW w:type="dxa" w:w="2351"/>
          </w:tcPr>
          <w:p>
            <w:r>
              <w:t>Match — both identified gap</w:t>
            </w:r>
          </w:p>
        </w:tc>
      </w:tr>
      <w:tr>
        <w:tc>
          <w:tcPr>
            <w:tcW w:type="dxa" w:w="2351"/>
          </w:tcPr>
          <w:p>
            <w:r>
              <w:t>Vendor security review gaps</w:t>
            </w:r>
          </w:p>
        </w:tc>
        <w:tc>
          <w:tcPr>
            <w:tcW w:type="dxa" w:w="2351"/>
          </w:tcPr>
          <w:p>
            <w:r>
              <w:t>YES — Third Party Mgmt rated Moderate</w:t>
            </w:r>
          </w:p>
        </w:tc>
        <w:tc>
          <w:tcPr>
            <w:tcW w:type="dxa" w:w="2351"/>
          </w:tcPr>
          <w:p>
            <w:r>
              <w:t>PARTIAL — in compliance audit failures</w:t>
            </w:r>
          </w:p>
        </w:tc>
        <w:tc>
          <w:tcPr>
            <w:tcW w:type="dxa" w:w="2351"/>
          </w:tcPr>
          <w:p>
            <w:r>
              <w:t>Agent less specific on vendor management</w:t>
            </w:r>
          </w:p>
        </w:tc>
      </w:tr>
      <w:tr>
        <w:tc>
          <w:tcPr>
            <w:tcW w:type="dxa" w:w="2351"/>
          </w:tcPr>
          <w:p>
            <w:r>
              <w:t>CTO succession planning gap</w:t>
            </w:r>
          </w:p>
        </w:tc>
        <w:tc>
          <w:tcPr>
            <w:tcW w:type="dxa" w:w="2351"/>
          </w:tcPr>
          <w:p>
            <w:r>
              <w:t>NOT EXPLICITLY — recommended org restructure under CTO</w:t>
            </w:r>
          </w:p>
        </w:tc>
        <w:tc>
          <w:tcPr>
            <w:tcW w:type="dxa" w:w="2351"/>
          </w:tcPr>
          <w:p>
            <w:r>
              <w:t>YES — HIGH finding</w:t>
            </w:r>
          </w:p>
        </w:tc>
        <w:tc>
          <w:tcPr>
            <w:tcW w:type="dxa" w:w="2351"/>
          </w:tcPr>
          <w:p>
            <w:r>
              <w:t>Agent found succession gap; practitioner went broader</w:t>
            </w:r>
          </w:p>
        </w:tc>
      </w:tr>
      <w:tr>
        <w:tc>
          <w:tcPr>
            <w:tcW w:type="dxa" w:w="2351"/>
          </w:tcPr>
          <w:p>
            <w:r>
              <w:t>Org restructure recommendation</w:t>
            </w:r>
          </w:p>
        </w:tc>
        <w:tc>
          <w:tcPr>
            <w:tcW w:type="dxa" w:w="2351"/>
          </w:tcPr>
          <w:p>
            <w:r>
              <w:t>YES — consolidate under CTO, reduce CEO reports</w:t>
            </w:r>
          </w:p>
        </w:tc>
        <w:tc>
          <w:tcPr>
            <w:tcW w:type="dxa" w:w="2351"/>
          </w:tcPr>
          <w:p>
            <w:r>
              <w:t>NO</w:t>
            </w:r>
          </w:p>
        </w:tc>
        <w:tc>
          <w:tcPr>
            <w:tcW w:type="dxa" w:w="2351"/>
          </w:tcPr>
          <w:p>
            <w:r>
              <w:t>Major miss — agent only caught one piece</w:t>
            </w:r>
          </w:p>
        </w:tc>
      </w:tr>
      <w:tr>
        <w:tc>
          <w:tcPr>
            <w:tcW w:type="dxa" w:w="2351"/>
          </w:tcPr>
          <w:p>
            <w:r>
              <w:t>~100+ person tech org with offshore partners</w:t>
            </w:r>
          </w:p>
        </w:tc>
        <w:tc>
          <w:tcPr>
            <w:tcW w:type="dxa" w:w="2351"/>
          </w:tcPr>
          <w:p>
            <w:r>
              <w:t>YES — full org chart with FTE/contractor splits</w:t>
            </w:r>
          </w:p>
        </w:tc>
        <w:tc>
          <w:tcPr>
            <w:tcW w:type="dxa" w:w="2351"/>
          </w:tcPr>
          <w:p>
            <w:r>
              <w:t>NO</w:t>
            </w:r>
          </w:p>
        </w:tc>
        <w:tc>
          <w:tcPr>
            <w:tcW w:type="dxa" w:w="2351"/>
          </w:tcPr>
          <w:p>
            <w:r>
              <w:t>Agent had no org chart data</w:t>
            </w:r>
          </w:p>
        </w:tc>
      </w:tr>
      <w:tr>
        <w:tc>
          <w:tcPr>
            <w:tcW w:type="dxa" w:w="2351"/>
          </w:tcPr>
          <w:p>
            <w:r>
              <w:t>QA team bottleneck (~11 people, manual)</w:t>
            </w:r>
          </w:p>
        </w:tc>
        <w:tc>
          <w:tcPr>
            <w:tcW w:type="dxa" w:w="2351"/>
          </w:tcPr>
          <w:p>
            <w:r>
              <w:t>YES — noted QA scaling concern</w:t>
            </w:r>
          </w:p>
        </w:tc>
        <w:tc>
          <w:tcPr>
            <w:tcW w:type="dxa" w:w="2351"/>
          </w:tcPr>
          <w:p>
            <w:r>
              <w:t>YES — HIGH finding</w:t>
            </w:r>
          </w:p>
        </w:tc>
        <w:tc>
          <w:tcPr>
            <w:tcW w:type="dxa" w:w="2351"/>
          </w:tcPr>
          <w:p>
            <w:r>
              <w:t>Match</w:t>
            </w:r>
          </w:p>
        </w:tc>
      </w:tr>
      <w:tr>
        <w:tc>
          <w:tcPr>
            <w:tcW w:type="dxa" w:w="2351"/>
          </w:tcPr>
          <w:p>
            <w:r>
              <w:t>2662 SAST potential weaknesses</w:t>
            </w:r>
          </w:p>
        </w:tc>
        <w:tc>
          <w:tcPr>
            <w:tcW w:type="dxa" w:w="2351"/>
          </w:tcPr>
          <w:p>
            <w:r>
              <w:t>YES — CRITICAL, full CWE Top 25 breakdown</w:t>
            </w:r>
          </w:p>
        </w:tc>
        <w:tc>
          <w:tcPr>
            <w:tcW w:type="dxa" w:w="2351"/>
          </w:tcPr>
          <w:p>
            <w:r>
              <w:t>NO — no source access</w:t>
            </w:r>
          </w:p>
        </w:tc>
        <w:tc>
          <w:tcPr>
            <w:tcW w:type="dxa" w:w="2351"/>
          </w:tcPr>
          <w:p>
            <w:r>
              <w:t>Structural gap — agents cannot scan code</w:t>
            </w:r>
          </w:p>
        </w:tc>
      </w:tr>
      <w:tr>
        <w:tc>
          <w:tcPr>
            <w:tcW w:type="dxa" w:w="2351"/>
          </w:tcPr>
          <w:p>
            <w:r>
              <w:t>19 critical + 95 high OSS vulnerabilities</w:t>
            </w:r>
          </w:p>
        </w:tc>
        <w:tc>
          <w:tcPr>
            <w:tcW w:type="dxa" w:w="2351"/>
          </w:tcPr>
          <w:p>
            <w:r>
              <w:t>YES — CRITICAL, library-by-library table</w:t>
            </w:r>
          </w:p>
        </w:tc>
        <w:tc>
          <w:tcPr>
            <w:tcW w:type="dxa" w:w="2351"/>
          </w:tcPr>
          <w:p>
            <w:r>
              <w:t>NO — no source access</w:t>
            </w:r>
          </w:p>
        </w:tc>
        <w:tc>
          <w:tcPr>
            <w:tcW w:type="dxa" w:w="2351"/>
          </w:tcPr>
          <w:p>
            <w:r>
              <w:t>Structural gap</w:t>
            </w:r>
          </w:p>
        </w:tc>
      </w:tr>
      <w:tr>
        <w:tc>
          <w:tcPr>
            <w:tcW w:type="dxa" w:w="2351"/>
          </w:tcPr>
          <w:p>
            <w:r>
              <w:t>492 XSS patterns (CWE-79)</w:t>
            </w:r>
          </w:p>
        </w:tc>
        <w:tc>
          <w:tcPr>
            <w:tcW w:type="dxa" w:w="2351"/>
          </w:tcPr>
          <w:p>
            <w:r>
              <w:t>YES — highlighted as top concern</w:t>
            </w:r>
          </w:p>
        </w:tc>
        <w:tc>
          <w:tcPr>
            <w:tcW w:type="dxa" w:w="2351"/>
          </w:tcPr>
          <w:p>
            <w:r>
              <w:t>NO</w:t>
            </w:r>
          </w:p>
        </w:tc>
        <w:tc>
          <w:tcPr>
            <w:tcW w:type="dxa" w:w="2351"/>
          </w:tcPr>
          <w:p>
            <w:r>
              <w:t>Structural gap</w:t>
            </w:r>
          </w:p>
        </w:tc>
      </w:tr>
      <w:tr>
        <w:tc>
          <w:tcPr>
            <w:tcW w:type="dxa" w:w="2351"/>
          </w:tcPr>
          <w:p>
            <w:r>
              <w:t>370 hard-coded credentials (CWE-798)</w:t>
            </w:r>
          </w:p>
        </w:tc>
        <w:tc>
          <w:tcPr>
            <w:tcW w:type="dxa" w:w="2351"/>
          </w:tcPr>
          <w:p>
            <w:r>
              <w:t>YES — noted as often false positive</w:t>
            </w:r>
          </w:p>
        </w:tc>
        <w:tc>
          <w:tcPr>
            <w:tcW w:type="dxa" w:w="2351"/>
          </w:tcPr>
          <w:p>
            <w:r>
              <w:t>NO</w:t>
            </w:r>
          </w:p>
        </w:tc>
        <w:tc>
          <w:tcPr>
            <w:tcW w:type="dxa" w:w="2351"/>
          </w:tcPr>
          <w:p>
            <w:r>
              <w:t>Structural gap</w:t>
            </w:r>
          </w:p>
        </w:tc>
      </w:tr>
      <w:tr>
        <w:tc>
          <w:tcPr>
            <w:tcW w:type="dxa" w:w="2351"/>
          </w:tcPr>
          <w:p>
            <w:r>
              <w:t>Pen test vulnerabilities across all 6 apps</w:t>
            </w:r>
          </w:p>
        </w:tc>
        <w:tc>
          <w:tcPr>
            <w:tcW w:type="dxa" w:w="2351"/>
          </w:tcPr>
          <w:p>
            <w:r>
              <w:t>YES — referenced in Exec Summary</w:t>
            </w:r>
          </w:p>
        </w:tc>
        <w:tc>
          <w:tcPr>
            <w:tcW w:type="dxa" w:w="2351"/>
          </w:tcPr>
          <w:p>
            <w:r>
              <w:t>YES — CRITICAL finding</w:t>
            </w:r>
          </w:p>
        </w:tc>
        <w:tc>
          <w:tcPr>
            <w:tcW w:type="dxa" w:w="2351"/>
          </w:tcPr>
          <w:p>
            <w:r>
              <w:t>Match — both caught pen test results</w:t>
            </w:r>
          </w:p>
        </w:tc>
      </w:tr>
      <w:tr>
        <w:tc>
          <w:tcPr>
            <w:tcW w:type="dxa" w:w="2351"/>
          </w:tcPr>
          <w:p>
            <w:r>
              <w:t>R&amp;D spend 15% of revenue ($14.3M), low for growth</w:t>
            </w:r>
          </w:p>
        </w:tc>
        <w:tc>
          <w:tcPr>
            <w:tcW w:type="dxa" w:w="2351"/>
          </w:tcPr>
          <w:p>
            <w:r>
              <w:t>YES — full spend table, benchmarked</w:t>
            </w:r>
          </w:p>
        </w:tc>
        <w:tc>
          <w:tcPr>
            <w:tcW w:type="dxa" w:w="2351"/>
          </w:tcPr>
          <w:p>
            <w:r>
              <w:t>NO — NO_DATA</w:t>
            </w:r>
          </w:p>
        </w:tc>
        <w:tc>
          <w:tcPr>
            <w:tcW w:type="dxa" w:w="2351"/>
          </w:tcPr>
          <w:p>
            <w:r>
              <w:t>Agent missed entire domain</w:t>
            </w:r>
          </w:p>
        </w:tc>
      </w:tr>
      <w:tr>
        <w:tc>
          <w:tcPr>
            <w:tcW w:type="dxa" w:w="2351"/>
          </w:tcPr>
          <w:p>
            <w:r>
              <w:t>AWS annualized ~$3.5M</w:t>
            </w:r>
          </w:p>
        </w:tc>
        <w:tc>
          <w:tcPr>
            <w:tcW w:type="dxa" w:w="2351"/>
          </w:tcPr>
          <w:p>
            <w:r>
              <w:t>YES — monthly breakdown provided</w:t>
            </w:r>
          </w:p>
        </w:tc>
        <w:tc>
          <w:tcPr>
            <w:tcW w:type="dxa" w:w="2351"/>
          </w:tcPr>
          <w:p>
            <w:r>
              <w:t>PARTIAL — cost volatility signal only</w:t>
            </w:r>
          </w:p>
        </w:tc>
        <w:tc>
          <w:tcPr>
            <w:tcW w:type="dxa" w:w="2351"/>
          </w:tcPr>
          <w:p>
            <w:r>
              <w:t>Agent had cost data but not totals</w:t>
            </w:r>
          </w:p>
        </w:tc>
      </w:tr>
      <w:tr>
        <w:tc>
          <w:tcPr>
            <w:tcW w:type="dxa" w:w="2351"/>
          </w:tcPr>
          <w:p>
            <w:r>
              <w:t>CSpire hosting $1.5M–$2.6M annual</w:t>
            </w:r>
          </w:p>
        </w:tc>
        <w:tc>
          <w:tcPr>
            <w:tcW w:type="dxa" w:w="2351"/>
          </w:tcPr>
          <w:p>
            <w:r>
              <w:t>YES — monthly figures in spend table</w:t>
            </w:r>
          </w:p>
        </w:tc>
        <w:tc>
          <w:tcPr>
            <w:tcW w:type="dxa" w:w="2351"/>
          </w:tcPr>
          <w:p>
            <w:r>
              <w:t>PARTIAL — dual-cost burden signal</w:t>
            </w:r>
          </w:p>
        </w:tc>
        <w:tc>
          <w:tcPr>
            <w:tcW w:type="dxa" w:w="2351"/>
          </w:tcPr>
          <w:p>
            <w:r>
              <w:t>Agent noted burden, not specifics</w:t>
            </w:r>
          </w:p>
        </w:tc>
      </w:tr>
      <w:tr>
        <w:tc>
          <w:tcPr>
            <w:tcW w:type="dxa" w:w="2351"/>
          </w:tcPr>
          <w:p>
            <w:r>
              <w:t>DR capabilities incomplete</w:t>
            </w:r>
          </w:p>
        </w:tc>
        <w:tc>
          <w:tcPr>
            <w:tcW w:type="dxa" w:w="2351"/>
          </w:tcPr>
          <w:p>
            <w:r>
              <w:t>YES — no formal RTO/RPO documented</w:t>
            </w:r>
          </w:p>
        </w:tc>
        <w:tc>
          <w:tcPr>
            <w:tcW w:type="dxa" w:w="2351"/>
          </w:tcPr>
          <w:p>
            <w:r>
              <w:t>YES — HIGH finding</w:t>
            </w:r>
          </w:p>
        </w:tc>
        <w:tc>
          <w:tcPr>
            <w:tcW w:type="dxa" w:w="2351"/>
          </w:tcPr>
          <w:p>
            <w:r>
              <w:t>Match</w:t>
            </w:r>
          </w:p>
        </w:tc>
      </w:tr>
      <w:tr>
        <w:tc>
          <w:tcPr>
            <w:tcW w:type="dxa" w:w="2351"/>
          </w:tcPr>
          <w:p>
            <w:r>
              <w:t>eChart performance issues (46s+ API)</w:t>
            </w:r>
          </w:p>
        </w:tc>
        <w:tc>
          <w:tcPr>
            <w:tcW w:type="dxa" w:w="2351"/>
          </w:tcPr>
          <w:p>
            <w:r>
              <w:t>NOT in final report</w:t>
            </w:r>
          </w:p>
        </w:tc>
        <w:tc>
          <w:tcPr>
            <w:tcW w:type="dxa" w:w="2351"/>
          </w:tcPr>
          <w:p>
            <w:r>
              <w:t>YES — MEDIUM finding (New Relic data)</w:t>
            </w:r>
          </w:p>
        </w:tc>
        <w:tc>
          <w:tcPr>
            <w:tcW w:type="dxa" w:w="2351"/>
          </w:tcPr>
          <w:p>
            <w:r>
              <w:t>Agent found what practitioners did NOT</w:t>
            </w:r>
          </w:p>
        </w:tc>
      </w:tr>
      <w:tr>
        <w:tc>
          <w:tcPr>
            <w:tcW w:type="dxa" w:w="2351"/>
          </w:tcPr>
          <w:p>
            <w:r>
              <w:t>Incident detection delays (21-45 days)</w:t>
            </w:r>
          </w:p>
        </w:tc>
        <w:tc>
          <w:tcPr>
            <w:tcW w:type="dxa" w:w="2351"/>
          </w:tcPr>
          <w:p>
            <w:r>
              <w:t>NOT EMPHASIZED</w:t>
            </w:r>
          </w:p>
        </w:tc>
        <w:tc>
          <w:tcPr>
            <w:tcW w:type="dxa" w:w="2351"/>
          </w:tcPr>
          <w:p>
            <w:r>
              <w:t>YES — HIGH finding</w:t>
            </w:r>
          </w:p>
        </w:tc>
        <w:tc>
          <w:tcPr>
            <w:tcW w:type="dxa" w:w="2351"/>
          </w:tcPr>
          <w:p>
            <w:r>
              <w:t>Agent found what practitioners did NOT</w:t>
            </w:r>
          </w:p>
        </w:tc>
      </w:tr>
      <w:tr>
        <w:tc>
          <w:tcPr>
            <w:tcW w:type="dxa" w:w="2351"/>
          </w:tcPr>
          <w:p>
            <w:r>
              <w:t>AI governance documentation gap</w:t>
            </w:r>
          </w:p>
        </w:tc>
        <w:tc>
          <w:tcPr>
            <w:tcW w:type="dxa" w:w="2351"/>
          </w:tcPr>
          <w:p>
            <w:r>
              <w:t>NOT a separate finding</w:t>
            </w:r>
          </w:p>
        </w:tc>
        <w:tc>
          <w:tcPr>
            <w:tcW w:type="dxa" w:w="2351"/>
          </w:tcPr>
          <w:p>
            <w:r>
              <w:t>YES — CRITICAL finding</w:t>
            </w:r>
          </w:p>
        </w:tc>
        <w:tc>
          <w:tcPr>
            <w:tcW w:type="dxa" w:w="2351"/>
          </w:tcPr>
          <w:p>
            <w:r>
              <w:t>Agent found; practitioners noted AI tools exist but didn't flag governance</w:t>
            </w:r>
          </w:p>
        </w:tc>
      </w:tr>
      <w:tr>
        <w:tc>
          <w:tcPr>
            <w:tcW w:type="dxa" w:w="2351"/>
          </w:tcPr>
          <w:p>
            <w:r>
              <w:t>Production AI capabilities (Assist, Intake, Opnote)</w:t>
            </w:r>
          </w:p>
        </w:tc>
        <w:tc>
          <w:tcPr>
            <w:tcW w:type="dxa" w:w="2351"/>
          </w:tcPr>
          <w:p>
            <w:r>
              <w:t>YES — mentioned AI landscape page</w:t>
            </w:r>
          </w:p>
        </w:tc>
        <w:tc>
          <w:tcPr>
            <w:tcW w:type="dxa" w:w="2351"/>
          </w:tcPr>
          <w:p>
            <w:r>
              <w:t>YES — LOW (positive) finding</w:t>
            </w:r>
          </w:p>
        </w:tc>
        <w:tc>
          <w:tcPr>
            <w:tcW w:type="dxa" w:w="2351"/>
          </w:tcPr>
          <w:p>
            <w:r>
              <w:t>Match</w:t>
            </w:r>
          </w:p>
        </w:tc>
      </w:tr>
      <w:tr>
        <w:tc>
          <w:tcPr>
            <w:tcW w:type="dxa" w:w="2351"/>
          </w:tcPr>
          <w:p>
            <w:r>
              <w:t>97% customer retention</w:t>
            </w:r>
          </w:p>
        </w:tc>
        <w:tc>
          <w:tcPr>
            <w:tcW w:type="dxa" w:w="2351"/>
          </w:tcPr>
          <w:p>
            <w:r>
              <w:t>YES — noted in Exec Summary</w:t>
            </w:r>
          </w:p>
        </w:tc>
        <w:tc>
          <w:tcPr>
            <w:tcW w:type="dxa" w:w="2351"/>
          </w:tcPr>
          <w:p>
            <w:r>
              <w:t>YES — LOW (positive) signal</w:t>
            </w:r>
          </w:p>
        </w:tc>
        <w:tc>
          <w:tcPr>
            <w:tcW w:type="dxa" w:w="2351"/>
          </w:tcPr>
          <w:p>
            <w:r>
              <w:t>Match</w:t>
            </w:r>
          </w:p>
        </w:tc>
      </w:tr>
      <w:tr>
        <w:tc>
          <w:tcPr>
            <w:tcW w:type="dxa" w:w="2351"/>
          </w:tcPr>
          <w:p>
            <w:r>
              <w:t>Mature Agile SDLC with CircleCI</w:t>
            </w:r>
          </w:p>
        </w:tc>
        <w:tc>
          <w:tcPr>
            <w:tcW w:type="dxa" w:w="2351"/>
          </w:tcPr>
          <w:p>
            <w:r>
              <w:t>YES — detailed SDLC walkthrough</w:t>
            </w:r>
          </w:p>
        </w:tc>
        <w:tc>
          <w:tcPr>
            <w:tcW w:type="dxa" w:w="2351"/>
          </w:tcPr>
          <w:p>
            <w:r>
              <w:t>YES — GREEN/LOW signals</w:t>
            </w:r>
          </w:p>
        </w:tc>
        <w:tc>
          <w:tcPr>
            <w:tcW w:type="dxa" w:w="2351"/>
          </w:tcPr>
          <w:p>
            <w:r>
              <w:t>Match</w:t>
            </w:r>
          </w:p>
        </w:tc>
      </w:tr>
      <w:tr>
        <w:tc>
          <w:tcPr>
            <w:tcW w:type="dxa" w:w="2351"/>
          </w:tcPr>
          <w:p>
            <w:r>
              <w:t>Inconsistent automation maturity across products</w:t>
            </w:r>
          </w:p>
        </w:tc>
        <w:tc>
          <w:tcPr>
            <w:tcW w:type="dxa" w:w="2351"/>
          </w:tcPr>
          <w:p>
            <w:r>
              <w:t>YES — noted varying test coverage</w:t>
            </w:r>
          </w:p>
        </w:tc>
        <w:tc>
          <w:tcPr>
            <w:tcW w:type="dxa" w:w="2351"/>
          </w:tcPr>
          <w:p>
            <w:r>
              <w:t>YES — MEDIUM finding</w:t>
            </w:r>
          </w:p>
        </w:tc>
        <w:tc>
          <w:tcPr>
            <w:tcW w:type="dxa" w:w="2351"/>
          </w:tcPr>
          <w:p>
            <w:r>
              <w:t>Match</w:t>
            </w:r>
          </w:p>
        </w:tc>
      </w:tr>
      <w:tr>
        <w:tc>
          <w:tcPr>
            <w:tcW w:type="dxa" w:w="2351"/>
          </w:tcPr>
          <w:p>
            <w:r>
              <w:t>Comprehensive dev tooling (Figma, VS, Snyk, etc.)</w:t>
            </w:r>
          </w:p>
        </w:tc>
        <w:tc>
          <w:tcPr>
            <w:tcW w:type="dxa" w:w="2351"/>
          </w:tcPr>
          <w:p>
            <w:r>
              <w:t>YES — full tooling landscape table</w:t>
            </w:r>
          </w:p>
        </w:tc>
        <w:tc>
          <w:tcPr>
            <w:tcW w:type="dxa" w:w="2351"/>
          </w:tcPr>
          <w:p>
            <w:r>
              <w:t>NO — not surfaced</w:t>
            </w:r>
          </w:p>
        </w:tc>
        <w:tc>
          <w:tcPr>
            <w:tcW w:type="dxa" w:w="2351"/>
          </w:tcPr>
          <w:p>
            <w:r>
              <w:t>Agent doesn't extract tooling inventories</w:t>
            </w:r>
          </w:p>
        </w:tc>
      </w:tr>
      <w:tr>
        <w:tc>
          <w:tcPr>
            <w:tcW w:type="dxa" w:w="2351"/>
          </w:tcPr>
          <w:p>
            <w:r>
              <w:t>Missing HRIS (only ADP)</w:t>
            </w:r>
          </w:p>
        </w:tc>
        <w:tc>
          <w:tcPr>
            <w:tcW w:type="dxa" w:w="2351"/>
          </w:tcPr>
          <w:p>
            <w:r>
              <w:t>YES — noted as needed replacement</w:t>
            </w:r>
          </w:p>
        </w:tc>
        <w:tc>
          <w:tcPr>
            <w:tcW w:type="dxa" w:w="2351"/>
          </w:tcPr>
          <w:p>
            <w:r>
              <w:t>NO</w:t>
            </w:r>
          </w:p>
        </w:tc>
        <w:tc>
          <w:tcPr>
            <w:tcW w:type="dxa" w:w="2351"/>
          </w:tcPr>
          <w:p>
            <w:r>
              <w:t>Agent lacks Enterprise IT focus</w:t>
            </w:r>
          </w:p>
        </w:tc>
      </w:tr>
    </w:tbl>
    <w:p/>
    <w:p>
      <w:pPr>
        <w:pStyle w:val="Heading2"/>
      </w:pPr>
      <w:r>
        <w:t>Coverage Summary</w:t>
      </w:r>
    </w:p>
    <w:p>
      <w:r>
        <w:t>Both found: 13 themes  |  Practitioner only: 9 themes  |  Agent only: 5 themes  |  Partial agent match: 5 themes</w:t>
      </w:r>
    </w:p>
    <w:p>
      <w:r>
        <w:t>Agent coverage rate (full + partial): 18/32 = 56%</w:t>
      </w:r>
    </w:p>
    <w:p>
      <w:r>
        <w:br w:type="page"/>
      </w:r>
    </w:p>
    <w:p>
      <w:pPr>
        <w:pStyle w:val="Heading1"/>
      </w:pPr>
      <w:r>
        <w:t>4. Dimension 2 — Severity Calibration</w:t>
      </w:r>
    </w:p>
    <w:p>
      <w:r>
        <w:t>Where both the practitioner and agent identified the same risk area, did they agree on severity? This dimension reveals whether agents over-rate or under-rate risks relative to expert judgment.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E293B"/>
          </w:tcPr>
          <w:p>
            <w:r>
              <w:rPr>
                <w:b/>
                <w:color w:val="FFFFFF"/>
                <w:sz w:val="18"/>
              </w:rPr>
              <w:t>Finding</w:t>
            </w:r>
          </w:p>
        </w:tc>
        <w:tc>
          <w:tcPr>
            <w:tcW w:type="dxa" w:w="1881"/>
            <w:shd w:fill="1E293B"/>
          </w:tcPr>
          <w:p>
            <w:r>
              <w:rPr>
                <w:b/>
                <w:color w:val="FFFFFF"/>
                <w:sz w:val="18"/>
              </w:rPr>
              <w:t>Practitioner Severity</w:t>
            </w:r>
          </w:p>
        </w:tc>
        <w:tc>
          <w:tcPr>
            <w:tcW w:type="dxa" w:w="1881"/>
            <w:shd w:fill="1E293B"/>
          </w:tcPr>
          <w:p>
            <w:r>
              <w:rPr>
                <w:b/>
                <w:color w:val="FFFFFF"/>
                <w:sz w:val="18"/>
              </w:rPr>
              <w:t>Agent Severity</w:t>
            </w:r>
          </w:p>
        </w:tc>
        <w:tc>
          <w:tcPr>
            <w:tcW w:type="dxa" w:w="1881"/>
            <w:shd w:fill="1E293B"/>
          </w:tcPr>
          <w:p>
            <w:r>
              <w:rPr>
                <w:b/>
                <w:color w:val="FFFFFF"/>
                <w:sz w:val="18"/>
              </w:rPr>
              <w:t>Delta</w:t>
            </w:r>
          </w:p>
        </w:tc>
        <w:tc>
          <w:tcPr>
            <w:tcW w:type="dxa" w:w="1881"/>
            <w:shd w:fill="1E293B"/>
          </w:tcPr>
          <w:p>
            <w:r>
              <w:rPr>
                <w:b/>
                <w:color w:val="FFFFFF"/>
                <w:sz w:val="18"/>
              </w:rPr>
              <w:t>Analysis</w:t>
            </w:r>
          </w:p>
        </w:tc>
      </w:tr>
      <w:tr>
        <w:tc>
          <w:tcPr>
            <w:tcW w:type="dxa" w:w="1881"/>
          </w:tcPr>
          <w:p>
            <w:r>
              <w:t>Security &amp; Compliance (overall)</w:t>
            </w:r>
          </w:p>
        </w:tc>
        <w:tc>
          <w:tcPr>
            <w:tcW w:type="dxa" w:w="1881"/>
          </w:tcPr>
          <w:p>
            <w:r>
              <w:t>GREEN</w:t>
            </w:r>
          </w:p>
        </w:tc>
        <w:tc>
          <w:tcPr>
            <w:tcW w:type="dxa" w:w="1881"/>
          </w:tcPr>
          <w:p>
            <w:r>
              <w:t>YELLOW</w:t>
            </w:r>
          </w:p>
        </w:tc>
        <w:tc>
          <w:tcPr>
            <w:tcW w:type="dxa" w:w="1881"/>
          </w:tcPr>
          <w:p>
            <w:r>
              <w:t>AGENT HIGHER</w:t>
            </w:r>
          </w:p>
        </w:tc>
        <w:tc>
          <w:tcPr>
            <w:tcW w:type="dxa" w:w="1881"/>
          </w:tcPr>
          <w:p>
            <w:r>
              <w:t>Agent found PHI mis-routing data that practitioners did not emphasize. Agent severity likely more accurate given 31 incidents.</w:t>
            </w:r>
          </w:p>
        </w:tc>
      </w:tr>
      <w:tr>
        <w:tc>
          <w:tcPr>
            <w:tcW w:type="dxa" w:w="1881"/>
          </w:tcPr>
          <w:p>
            <w:r>
              <w:t>Tech debt burden</w:t>
            </w:r>
          </w:p>
        </w:tc>
        <w:tc>
          <w:tcPr>
            <w:tcW w:type="dxa" w:w="1881"/>
          </w:tcPr>
          <w:p>
            <w:r>
              <w:t>YELLOW (Moderate)</w:t>
            </w:r>
          </w:p>
        </w:tc>
        <w:tc>
          <w:tcPr>
            <w:tcW w:type="dxa" w:w="1881"/>
          </w:tcPr>
          <w:p>
            <w:r>
              <w:t>YELLOW (MEDIUM)</w:t>
            </w:r>
          </w:p>
        </w:tc>
        <w:tc>
          <w:tcPr>
            <w:tcW w:type="dxa" w:w="1881"/>
          </w:tcPr>
          <w:p>
            <w:r>
              <w:t>MATCH</w:t>
            </w:r>
          </w:p>
        </w:tc>
        <w:tc>
          <w:tcPr>
            <w:tcW w:type="dxa" w:w="1881"/>
          </w:tcPr>
          <w:p>
            <w:r>
              <w:t>Both rated moderate. Practitioner had granular cost estimates; agent was directionally correct.</w:t>
            </w:r>
          </w:p>
        </w:tc>
      </w:tr>
      <w:tr>
        <w:tc>
          <w:tcPr>
            <w:tcW w:type="dxa" w:w="1881"/>
          </w:tcPr>
          <w:p>
            <w:r>
              <w:t>AWS cost management</w:t>
            </w:r>
          </w:p>
        </w:tc>
        <w:tc>
          <w:tcPr>
            <w:tcW w:type="dxa" w:w="1881"/>
          </w:tcPr>
          <w:p>
            <w:r>
              <w:t>YELLOW (noted concern)</w:t>
            </w:r>
          </w:p>
        </w:tc>
        <w:tc>
          <w:tcPr>
            <w:tcW w:type="dxa" w:w="1881"/>
          </w:tcPr>
          <w:p>
            <w:r>
              <w:t>HIGH</w:t>
            </w:r>
          </w:p>
        </w:tc>
        <w:tc>
          <w:tcPr>
            <w:tcW w:type="dxa" w:w="1881"/>
          </w:tcPr>
          <w:p>
            <w:r>
              <w:t>AGENT HIGHER</w:t>
            </w:r>
          </w:p>
        </w:tc>
        <w:tc>
          <w:tcPr>
            <w:tcW w:type="dxa" w:w="1881"/>
          </w:tcPr>
          <w:p>
            <w:r>
              <w:t>Agent flagged 370% volatility as HIGH. Practitioner noted it as a concern but didn't elevate. Agent may be more precise here.</w:t>
            </w:r>
          </w:p>
        </w:tc>
      </w:tr>
      <w:tr>
        <w:tc>
          <w:tcPr>
            <w:tcW w:type="dxa" w:w="1881"/>
          </w:tcPr>
          <w:p>
            <w:r>
              <w:t>Dual infrastructure cost</w:t>
            </w:r>
          </w:p>
        </w:tc>
        <w:tc>
          <w:tcPr>
            <w:tcW w:type="dxa" w:w="1881"/>
          </w:tcPr>
          <w:p>
            <w:r>
              <w:t>YELLOW (noted)</w:t>
            </w:r>
          </w:p>
        </w:tc>
        <w:tc>
          <w:tcPr>
            <w:tcW w:type="dxa" w:w="1881"/>
          </w:tcPr>
          <w:p>
            <w:r>
              <w:t>HIGH</w:t>
            </w:r>
          </w:p>
        </w:tc>
        <w:tc>
          <w:tcPr>
            <w:tcW w:type="dxa" w:w="1881"/>
          </w:tcPr>
          <w:p>
            <w:r>
              <w:t>AGENT HIGHER</w:t>
            </w:r>
          </w:p>
        </w:tc>
        <w:tc>
          <w:tcPr>
            <w:tcW w:type="dxa" w:w="1881"/>
          </w:tcPr>
          <w:p>
            <w:r>
              <w:t>Agent elevated due to $500K+/mo combined cost. Practitioner treated as migration path, less alarming.</w:t>
            </w:r>
          </w:p>
        </w:tc>
      </w:tr>
      <w:tr>
        <w:tc>
          <w:tcPr>
            <w:tcW w:type="dxa" w:w="1881"/>
          </w:tcPr>
          <w:p>
            <w:r>
              <w:t>QA manual testing bottleneck</w:t>
            </w:r>
          </w:p>
        </w:tc>
        <w:tc>
          <w:tcPr>
            <w:tcW w:type="dxa" w:w="1881"/>
          </w:tcPr>
          <w:p>
            <w:r>
              <w:t>YELLOW (scaling concern)</w:t>
            </w:r>
          </w:p>
        </w:tc>
        <w:tc>
          <w:tcPr>
            <w:tcW w:type="dxa" w:w="1881"/>
          </w:tcPr>
          <w:p>
            <w:r>
              <w:t>HIGH</w:t>
            </w:r>
          </w:p>
        </w:tc>
        <w:tc>
          <w:tcPr>
            <w:tcW w:type="dxa" w:w="1881"/>
          </w:tcPr>
          <w:p>
            <w:r>
              <w:t>AGENT HIGHER</w:t>
            </w:r>
          </w:p>
        </w:tc>
        <w:tc>
          <w:tcPr>
            <w:tcW w:type="dxa" w:w="1881"/>
          </w:tcPr>
          <w:p>
            <w:r>
              <w:t>Agent may be over-weighting based on 'no automation experience' language vs practitioner's nuanced view of SME value.</w:t>
            </w:r>
          </w:p>
        </w:tc>
      </w:tr>
      <w:tr>
        <w:tc>
          <w:tcPr>
            <w:tcW w:type="dxa" w:w="1881"/>
          </w:tcPr>
          <w:p>
            <w:r>
              <w:t>Codebase security (OSS+SAST)</w:t>
            </w:r>
          </w:p>
        </w:tc>
        <w:tc>
          <w:tcPr>
            <w:tcW w:type="dxa" w:w="1881"/>
          </w:tcPr>
          <w:p>
            <w:r>
              <w:t>RED (Critical)</w:t>
            </w:r>
          </w:p>
        </w:tc>
        <w:tc>
          <w:tcPr>
            <w:tcW w:type="dxa" w:w="1881"/>
          </w:tcPr>
          <w:p>
            <w:r>
              <w:t>YELLOW (SDLC pillar)</w:t>
            </w:r>
          </w:p>
        </w:tc>
        <w:tc>
          <w:tcPr>
            <w:tcW w:type="dxa" w:w="1881"/>
          </w:tcPr>
          <w:p>
            <w:r>
              <w:t>AGENT LOWER</w:t>
            </w:r>
          </w:p>
        </w:tc>
        <w:tc>
          <w:tcPr>
            <w:tcW w:type="dxa" w:w="1881"/>
          </w:tcPr>
          <w:p>
            <w:r>
              <w:t>Major under-call. Agent lacked source scan data. Only caught pen-test reference, missed 2662 code weaknesses entirely.</w:t>
            </w:r>
          </w:p>
        </w:tc>
      </w:tr>
      <w:tr>
        <w:tc>
          <w:tcPr>
            <w:tcW w:type="dxa" w:w="1881"/>
          </w:tcPr>
          <w:p>
            <w:r>
              <w:t>Pen test vulnerabilities</w:t>
            </w:r>
          </w:p>
        </w:tc>
        <w:tc>
          <w:tcPr>
            <w:tcW w:type="dxa" w:w="1881"/>
          </w:tcPr>
          <w:p>
            <w:r>
              <w:t>Referenced, not independently rated</w:t>
            </w:r>
          </w:p>
        </w:tc>
        <w:tc>
          <w:tcPr>
            <w:tcW w:type="dxa" w:w="1881"/>
          </w:tcPr>
          <w:p>
            <w:r>
              <w:t>CRITICAL</w:t>
            </w:r>
          </w:p>
        </w:tc>
        <w:tc>
          <w:tcPr>
            <w:tcW w:type="dxa" w:w="1881"/>
          </w:tcPr>
          <w:p>
            <w:r>
              <w:t>AGENT HIGHER</w:t>
            </w:r>
          </w:p>
        </w:tc>
        <w:tc>
          <w:tcPr>
            <w:tcW w:type="dxa" w:w="1881"/>
          </w:tcPr>
          <w:p>
            <w:r>
              <w:t>Agent treated pen-test findings as standalone CRITICAL. Practitioner embedded in broader Security section rated GREEN overall.</w:t>
            </w:r>
          </w:p>
        </w:tc>
      </w:tr>
      <w:tr>
        <w:tc>
          <w:tcPr>
            <w:tcW w:type="dxa" w:w="1881"/>
          </w:tcPr>
          <w:p>
            <w:r>
              <w:t>DR/failover capabilities</w:t>
            </w:r>
          </w:p>
        </w:tc>
        <w:tc>
          <w:tcPr>
            <w:tcW w:type="dxa" w:w="1881"/>
          </w:tcPr>
          <w:p>
            <w:r>
              <w:t>YELLOW (no RTO/RPO)</w:t>
            </w:r>
          </w:p>
        </w:tc>
        <w:tc>
          <w:tcPr>
            <w:tcW w:type="dxa" w:w="1881"/>
          </w:tcPr>
          <w:p>
            <w:r>
              <w:t>HIGH</w:t>
            </w:r>
          </w:p>
        </w:tc>
        <w:tc>
          <w:tcPr>
            <w:tcW w:type="dxa" w:w="1881"/>
          </w:tcPr>
          <w:p>
            <w:r>
              <w:t>AGENT HIGHER</w:t>
            </w:r>
          </w:p>
        </w:tc>
        <w:tc>
          <w:tcPr>
            <w:tcW w:type="dxa" w:w="1881"/>
          </w:tcPr>
          <w:p>
            <w:r>
              <w:t>Agent elevated based on 'NOT YET SET UP' third-party failover language. Practitioner noted tested failover exists in practice.</w:t>
            </w:r>
          </w:p>
        </w:tc>
      </w:tr>
      <w:tr>
        <w:tc>
          <w:tcPr>
            <w:tcW w:type="dxa" w:w="1881"/>
          </w:tcPr>
          <w:p>
            <w:r>
              <w:t>Customer retention / PMF</w:t>
            </w:r>
          </w:p>
        </w:tc>
        <w:tc>
          <w:tcPr>
            <w:tcW w:type="dxa" w:w="1881"/>
          </w:tcPr>
          <w:p>
            <w:r>
              <w:t>GREEN (97%)</w:t>
            </w:r>
          </w:p>
        </w:tc>
        <w:tc>
          <w:tcPr>
            <w:tcW w:type="dxa" w:w="1881"/>
          </w:tcPr>
          <w:p>
            <w:r>
              <w:t>GREEN / LOW positive</w:t>
            </w:r>
          </w:p>
        </w:tc>
        <w:tc>
          <w:tcPr>
            <w:tcW w:type="dxa" w:w="1881"/>
          </w:tcPr>
          <w:p>
            <w:r>
              <w:t>MATCH</w:t>
            </w:r>
          </w:p>
        </w:tc>
        <w:tc>
          <w:tcPr>
            <w:tcW w:type="dxa" w:w="1881"/>
          </w:tcPr>
          <w:p>
            <w:r>
              <w:t>Both recognized as strength.</w:t>
            </w:r>
          </w:p>
        </w:tc>
      </w:tr>
      <w:tr>
        <w:tc>
          <w:tcPr>
            <w:tcW w:type="dxa" w:w="1881"/>
          </w:tcPr>
          <w:p>
            <w:r>
              <w:t>SDLC maturity</w:t>
            </w:r>
          </w:p>
        </w:tc>
        <w:tc>
          <w:tcPr>
            <w:tcW w:type="dxa" w:w="1881"/>
          </w:tcPr>
          <w:p>
            <w:r>
              <w:t>GREEN (mature)</w:t>
            </w:r>
          </w:p>
        </w:tc>
        <w:tc>
          <w:tcPr>
            <w:tcW w:type="dxa" w:w="1881"/>
          </w:tcPr>
          <w:p>
            <w:r>
              <w:t>YELLOW with GREEN signals</w:t>
            </w:r>
          </w:p>
        </w:tc>
        <w:tc>
          <w:tcPr>
            <w:tcW w:type="dxa" w:w="1881"/>
          </w:tcPr>
          <w:p>
            <w:r>
              <w:t>CLOSE MATCH</w:t>
            </w:r>
          </w:p>
        </w:tc>
        <w:tc>
          <w:tcPr>
            <w:tcW w:type="dxa" w:w="1881"/>
          </w:tcPr>
          <w:p>
            <w:r>
              <w:t>Agent directionally correct but blended positive and negative signals under one pillar.</w:t>
            </w:r>
          </w:p>
        </w:tc>
      </w:tr>
      <w:tr>
        <w:tc>
          <w:tcPr>
            <w:tcW w:type="dxa" w:w="1881"/>
          </w:tcPr>
          <w:p>
            <w:r>
              <w:t>Org structure needs</w:t>
            </w:r>
          </w:p>
        </w:tc>
        <w:tc>
          <w:tcPr>
            <w:tcW w:type="dxa" w:w="1881"/>
          </w:tcPr>
          <w:p>
            <w:r>
              <w:t>YELLOW (restructure needed)</w:t>
            </w:r>
          </w:p>
        </w:tc>
        <w:tc>
          <w:tcPr>
            <w:tcW w:type="dxa" w:w="1881"/>
          </w:tcPr>
          <w:p>
            <w:r>
              <w:t>YELLOW (CTO gap only)</w:t>
            </w:r>
          </w:p>
        </w:tc>
        <w:tc>
          <w:tcPr>
            <w:tcW w:type="dxa" w:w="1881"/>
          </w:tcPr>
          <w:p>
            <w:r>
              <w:t>AGENT NARROWER</w:t>
            </w:r>
          </w:p>
        </w:tc>
        <w:tc>
          <w:tcPr>
            <w:tcW w:type="dxa" w:w="1881"/>
          </w:tcPr>
          <w:p>
            <w:r>
              <w:t>Same severity but agent captured only a fragment of the recommendation.</w:t>
            </w:r>
          </w:p>
        </w:tc>
      </w:tr>
    </w:tbl>
    <w:p/>
    <w:p>
      <w:pPr>
        <w:pStyle w:val="Heading2"/>
      </w:pPr>
      <w:r>
        <w:t>Severity Calibration Summary</w:t>
      </w:r>
    </w:p>
    <w:p>
      <w:r>
        <w:t>Matched severity: 3/11  |  Agent rated higher: 6  |  Agent rated lower: 1</w:t>
      </w:r>
    </w:p>
    <w:p>
      <w:r>
        <w:t>Pattern: The agent tends to over-rate operational risks (cost, DR, QA) where VDR language is alarming, and under-rates codebase risks where it lacks source-level data. The one major under-call — codebase security — is a structural limitation, not a calibration error.</w:t>
      </w:r>
    </w:p>
    <w:p>
      <w:r>
        <w:br w:type="page"/>
      </w:r>
    </w:p>
    <w:p>
      <w:pPr>
        <w:pStyle w:val="Heading1"/>
      </w:pPr>
      <w:r>
        <w:t>5. Dimension 3 — Missed Findings (Agent Gaps)</w:t>
      </w:r>
    </w:p>
    <w:p>
      <w:r>
        <w:t>These are findings the practitioners surfaced that the agent missed entirely. Understanding why reveals structural and prompt-level improvements.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E293B"/>
          </w:tcPr>
          <w:p>
            <w:r>
              <w:rPr>
                <w:b/>
                <w:color w:val="FFFFFF"/>
                <w:sz w:val="18"/>
              </w:rPr>
              <w:t>Missed Finding</w:t>
            </w:r>
          </w:p>
        </w:tc>
        <w:tc>
          <w:tcPr>
            <w:tcW w:type="dxa" w:w="2351"/>
            <w:shd w:fill="1E293B"/>
          </w:tcPr>
          <w:p>
            <w:r>
              <w:rPr>
                <w:b/>
                <w:color w:val="FFFFFF"/>
                <w:sz w:val="18"/>
              </w:rPr>
              <w:t>Practitioner Source</w:t>
            </w:r>
          </w:p>
        </w:tc>
        <w:tc>
          <w:tcPr>
            <w:tcW w:type="dxa" w:w="2351"/>
            <w:shd w:fill="1E293B"/>
          </w:tcPr>
          <w:p>
            <w:r>
              <w:rPr>
                <w:b/>
                <w:color w:val="FFFFFF"/>
                <w:sz w:val="18"/>
              </w:rPr>
              <w:t>Why Agent Missed It</w:t>
            </w:r>
          </w:p>
        </w:tc>
        <w:tc>
          <w:tcPr>
            <w:tcW w:type="dxa" w:w="2351"/>
            <w:shd w:fill="1E293B"/>
          </w:tcPr>
          <w:p>
            <w:r>
              <w:rPr>
                <w:b/>
                <w:color w:val="FFFFFF"/>
                <w:sz w:val="18"/>
              </w:rPr>
              <w:t>Fixability</w:t>
            </w:r>
          </w:p>
        </w:tc>
      </w:tr>
      <w:tr>
        <w:tc>
          <w:tcPr>
            <w:tcW w:type="dxa" w:w="2351"/>
          </w:tcPr>
          <w:p>
            <w:r>
              <w:t>Codebase: 2662 SAST weaknesses, CWE Top 25 coverage</w:t>
            </w:r>
          </w:p>
        </w:tc>
        <w:tc>
          <w:tcPr>
            <w:tcW w:type="dxa" w:w="2351"/>
          </w:tcPr>
          <w:p>
            <w:r>
              <w:t>Code scan report (28 pages)</w:t>
            </w:r>
          </w:p>
        </w:tc>
        <w:tc>
          <w:tcPr>
            <w:tcW w:type="dxa" w:w="2351"/>
          </w:tcPr>
          <w:p>
            <w:r>
              <w:t>Agent has zero source code access. CAST scan results were in a separate deliverable not in VDR.</w:t>
            </w:r>
          </w:p>
        </w:tc>
        <w:tc>
          <w:tcPr>
            <w:tcW w:type="dxa" w:w="2351"/>
          </w:tcPr>
          <w:p>
            <w:r>
              <w:t>STRUCTURAL — need code scan ingestion pipeline or separate Codebase Agent</w:t>
            </w:r>
          </w:p>
        </w:tc>
      </w:tr>
      <w:tr>
        <w:tc>
          <w:tcPr>
            <w:tcW w:type="dxa" w:w="2351"/>
          </w:tcPr>
          <w:p>
            <w:r>
              <w:t>Codebase: 19 critical + 95 high OSS vulnerabilities</w:t>
            </w:r>
          </w:p>
        </w:tc>
        <w:tc>
          <w:tcPr>
            <w:tcW w:type="dxa" w:w="2351"/>
          </w:tcPr>
          <w:p>
            <w:r>
              <w:t>Code scan report</w:t>
            </w:r>
          </w:p>
        </w:tc>
        <w:tc>
          <w:tcPr>
            <w:tcW w:type="dxa" w:w="2351"/>
          </w:tcPr>
          <w:p>
            <w:r>
              <w:t>Same as above — OSS scan data not in VDR documents.</w:t>
            </w:r>
          </w:p>
        </w:tc>
        <w:tc>
          <w:tcPr>
            <w:tcW w:type="dxa" w:w="2351"/>
          </w:tcPr>
          <w:p>
            <w:r>
              <w:t>STRUCTURAL — same fix as above</w:t>
            </w:r>
          </w:p>
        </w:tc>
      </w:tr>
      <w:tr>
        <w:tc>
          <w:tcPr>
            <w:tcW w:type="dxa" w:w="2351"/>
          </w:tcPr>
          <w:p>
            <w:r>
              <w:t>Codebase: 837 libraries, 78% outdated, 18% possibly deprecated</w:t>
            </w:r>
          </w:p>
        </w:tc>
        <w:tc>
          <w:tcPr>
            <w:tcW w:type="dxa" w:w="2351"/>
          </w:tcPr>
          <w:p>
            <w:r>
              <w:t>Code scan report</w:t>
            </w:r>
          </w:p>
        </w:tc>
        <w:tc>
          <w:tcPr>
            <w:tcW w:type="dxa" w:w="2351"/>
          </w:tcPr>
          <w:p>
            <w:r>
              <w:t>Library inventory not in VDR.</w:t>
            </w:r>
          </w:p>
        </w:tc>
        <w:tc>
          <w:tcPr>
            <w:tcW w:type="dxa" w:w="2351"/>
          </w:tcPr>
          <w:p>
            <w:r>
              <w:t>STRUCTURAL — needs dedicated input</w:t>
            </w:r>
          </w:p>
        </w:tc>
      </w:tr>
      <w:tr>
        <w:tc>
          <w:tcPr>
            <w:tcW w:type="dxa" w:w="2351"/>
          </w:tcPr>
          <w:p>
            <w:r>
              <w:t>Codebase: 9 high-risk license libraries (GPL/Commercial)</w:t>
            </w:r>
          </w:p>
        </w:tc>
        <w:tc>
          <w:tcPr>
            <w:tcW w:type="dxa" w:w="2351"/>
          </w:tcPr>
          <w:p>
            <w:r>
              <w:t>Code scan report</w:t>
            </w:r>
          </w:p>
        </w:tc>
        <w:tc>
          <w:tcPr>
            <w:tcW w:type="dxa" w:w="2351"/>
          </w:tcPr>
          <w:p>
            <w:r>
              <w:t>IP/license risk assessment not in VDR.</w:t>
            </w:r>
          </w:p>
        </w:tc>
        <w:tc>
          <w:tcPr>
            <w:tcW w:type="dxa" w:w="2351"/>
          </w:tcPr>
          <w:p>
            <w:r>
              <w:t>STRUCTURAL — needs dedicated input</w:t>
            </w:r>
          </w:p>
        </w:tc>
      </w:tr>
      <w:tr>
        <w:tc>
          <w:tcPr>
            <w:tcW w:type="dxa" w:w="2351"/>
          </w:tcPr>
          <w:p>
            <w:r>
              <w:t>Org restructure: consolidate product, eng, data, cyber under CTO</w:t>
            </w:r>
          </w:p>
        </w:tc>
        <w:tc>
          <w:tcPr>
            <w:tcW w:type="dxa" w:w="2351"/>
          </w:tcPr>
          <w:p>
            <w:r>
              <w:t>Organization &amp; Process section</w:t>
            </w:r>
          </w:p>
        </w:tc>
        <w:tc>
          <w:tcPr>
            <w:tcW w:type="dxa" w:w="2351"/>
          </w:tcPr>
          <w:p>
            <w:r>
              <w:t>Agent found CTO succession gap but lacked interview/meeting note context to understand broader restructure need.</w:t>
            </w:r>
          </w:p>
        </w:tc>
        <w:tc>
          <w:tcPr>
            <w:tcW w:type="dxa" w:w="2351"/>
          </w:tcPr>
          <w:p>
            <w:r>
              <w:t>PROMPT — add org-structure analysis prompt that looks for reporting lines, span-of-control, consolidation needs</w:t>
            </w:r>
          </w:p>
        </w:tc>
      </w:tr>
      <w:tr>
        <w:tc>
          <w:tcPr>
            <w:tcW w:type="dxa" w:w="2351"/>
          </w:tcPr>
          <w:p>
            <w:r>
              <w:t>Spend: R&amp;D at 15% of revenue, low for growth-mode company</w:t>
            </w:r>
          </w:p>
        </w:tc>
        <w:tc>
          <w:tcPr>
            <w:tcW w:type="dxa" w:w="2351"/>
          </w:tcPr>
          <w:p>
            <w:r>
              <w:t>Spend Analysis page</w:t>
            </w:r>
          </w:p>
        </w:tc>
        <w:tc>
          <w:tcPr>
            <w:tcW w:type="dxa" w:w="2351"/>
          </w:tcPr>
          <w:p>
            <w:r>
              <w:t>Agent's RDSpendAssessment returned NO_DATA — likely the spend documents were in un-scanned batches (batches 4-7).</w:t>
            </w:r>
          </w:p>
        </w:tc>
        <w:tc>
          <w:tcPr>
            <w:tcW w:type="dxa" w:w="2351"/>
          </w:tcPr>
          <w:p>
            <w:r>
              <w:t>SCAN COVERAGE — full VDR scan would likely catch this. Also add spend-specific doc classification.</w:t>
            </w:r>
          </w:p>
        </w:tc>
      </w:tr>
      <w:tr>
        <w:tc>
          <w:tcPr>
            <w:tcW w:type="dxa" w:w="2351"/>
          </w:tcPr>
          <w:p>
            <w:r>
              <w:t>Spend: $14.3M total R&amp;D, $6.1M hosting, tool-by-tool breakdown</w:t>
            </w:r>
          </w:p>
        </w:tc>
        <w:tc>
          <w:tcPr>
            <w:tcW w:type="dxa" w:w="2351"/>
          </w:tcPr>
          <w:p>
            <w:r>
              <w:t>Spend Analysis page</w:t>
            </w:r>
          </w:p>
        </w:tc>
        <w:tc>
          <w:tcPr>
            <w:tcW w:type="dxa" w:w="2351"/>
          </w:tcPr>
          <w:p>
            <w:r>
              <w:t>Same — document not in scanned batches.</w:t>
            </w:r>
          </w:p>
        </w:tc>
        <w:tc>
          <w:tcPr>
            <w:tcW w:type="dxa" w:w="2351"/>
          </w:tcPr>
          <w:p>
            <w:r>
              <w:t>SCAN COVERAGE</w:t>
            </w:r>
          </w:p>
        </w:tc>
      </w:tr>
      <w:tr>
        <w:tc>
          <w:tcPr>
            <w:tcW w:type="dxa" w:w="2351"/>
          </w:tcPr>
          <w:p>
            <w:r>
              <w:t>Product portfolio: detailed walkthrough of 6 products with market position</w:t>
            </w:r>
          </w:p>
        </w:tc>
        <w:tc>
          <w:tcPr>
            <w:tcW w:type="dxa" w:w="2351"/>
          </w:tcPr>
          <w:p>
            <w:r>
              <w:t>Solution Overview (7 pages)</w:t>
            </w:r>
          </w:p>
        </w:tc>
        <w:tc>
          <w:tcPr>
            <w:tcW w:type="dxa" w:w="2351"/>
          </w:tcPr>
          <w:p>
            <w:r>
              <w:t>Agent has no 'Solution Overview' pillar. Product context is not explicitly extracted.</w:t>
            </w:r>
          </w:p>
        </w:tc>
        <w:tc>
          <w:tcPr>
            <w:tcW w:type="dxa" w:w="2351"/>
          </w:tcPr>
          <w:p>
            <w:r>
              <w:t>PILLAR GAP — consider adding ProductOverview pillar for product-market context</w:t>
            </w:r>
          </w:p>
        </w:tc>
      </w:tr>
      <w:tr>
        <w:tc>
          <w:tcPr>
            <w:tcW w:type="dxa" w:w="2351"/>
          </w:tcPr>
          <w:p>
            <w:r>
              <w:t>Enterprise IT: full tooling landscape (30+ tools categorized)</w:t>
            </w:r>
          </w:p>
        </w:tc>
        <w:tc>
          <w:tcPr>
            <w:tcW w:type="dxa" w:w="2351"/>
          </w:tcPr>
          <w:p>
            <w:r>
              <w:t>Enterprise IT page</w:t>
            </w:r>
          </w:p>
        </w:tc>
        <w:tc>
          <w:tcPr>
            <w:tcW w:type="dxa" w:w="2351"/>
          </w:tcPr>
          <w:p>
            <w:r>
              <w:t>Agent doesn't extract tooling inventories as a finding category.</w:t>
            </w:r>
          </w:p>
        </w:tc>
        <w:tc>
          <w:tcPr>
            <w:tcW w:type="dxa" w:w="2351"/>
          </w:tcPr>
          <w:p>
            <w:r>
              <w:t>PROMPT — add tooling landscape extraction to TechnologyArchitecture prompts</w:t>
            </w:r>
          </w:p>
        </w:tc>
      </w:tr>
      <w:tr>
        <w:tc>
          <w:tcPr>
            <w:tcW w:type="dxa" w:w="2351"/>
          </w:tcPr>
          <w:p>
            <w:r>
              <w:t>Clariti GCP migration: hundreds of customer interfaces to transition</w:t>
            </w:r>
          </w:p>
        </w:tc>
        <w:tc>
          <w:tcPr>
            <w:tcW w:type="dxa" w:w="2351"/>
          </w:tcPr>
          <w:p>
            <w:r>
              <w:t>Product Infrastructure (GCP) page</w:t>
            </w:r>
          </w:p>
        </w:tc>
        <w:tc>
          <w:tcPr>
            <w:tcW w:type="dxa" w:w="2351"/>
          </w:tcPr>
          <w:p>
            <w:r>
              <w:t>Agent mentioned GCP in passing but didn't isolate migration risk or customer interface count.</w:t>
            </w:r>
          </w:p>
        </w:tc>
        <w:tc>
          <w:tcPr>
            <w:tcW w:type="dxa" w:w="2351"/>
          </w:tcPr>
          <w:p>
            <w:r>
              <w:t>PROMPT — add migration risk analysis for multi-cloud consolidation scenarios</w:t>
            </w:r>
          </w:p>
        </w:tc>
      </w:tr>
      <w:tr>
        <w:tc>
          <w:tcPr>
            <w:tcW w:type="dxa" w:w="2351"/>
          </w:tcPr>
          <w:p>
            <w:r>
              <w:t>SCA Health largest customer (14% CARR) on legacy platform</w:t>
            </w:r>
          </w:p>
        </w:tc>
        <w:tc>
          <w:tcPr>
            <w:tcW w:type="dxa" w:w="2351"/>
          </w:tcPr>
          <w:p>
            <w:r>
              <w:t>Spend Analysis</w:t>
            </w:r>
          </w:p>
        </w:tc>
        <w:tc>
          <w:tcPr>
            <w:tcW w:type="dxa" w:w="2351"/>
          </w:tcPr>
          <w:p>
            <w:r>
              <w:t>Customer concentration + legacy platform risk not extracted.</w:t>
            </w:r>
          </w:p>
        </w:tc>
        <w:tc>
          <w:tcPr>
            <w:tcW w:type="dxa" w:w="2351"/>
          </w:tcPr>
          <w:p>
            <w:r>
              <w:t>PROMPT — add customer concentration analysis to commercial risk extraction</w:t>
            </w:r>
          </w:p>
        </w:tc>
      </w:tr>
      <w:tr>
        <w:tc>
          <w:tcPr>
            <w:tcW w:type="dxa" w:w="2351"/>
          </w:tcPr>
          <w:p>
            <w:r>
              <w:t>Remediation cost estimates: $745K tech debt, $100-150K code vuln mitigation</w:t>
            </w:r>
          </w:p>
        </w:tc>
        <w:tc>
          <w:tcPr>
            <w:tcW w:type="dxa" w:w="2351"/>
          </w:tcPr>
          <w:p>
            <w:r>
              <w:t>Tech debt tables + code scan recommendations</w:t>
            </w:r>
          </w:p>
        </w:tc>
        <w:tc>
          <w:tcPr>
            <w:tcW w:type="dxa" w:w="2351"/>
          </w:tcPr>
          <w:p>
            <w:r>
              <w:t>Agent flags risks but never estimates remediation costs.</w:t>
            </w:r>
          </w:p>
        </w:tc>
        <w:tc>
          <w:tcPr>
            <w:tcW w:type="dxa" w:w="2351"/>
          </w:tcPr>
          <w:p>
            <w:r>
              <w:t>FEATURE — add remediation cost estimation heuristics to finding generation</w:t>
            </w:r>
          </w:p>
        </w:tc>
      </w:tr>
    </w:tbl>
    <w:p/>
    <w:p>
      <w:pPr>
        <w:pStyle w:val="Heading2"/>
      </w:pPr>
      <w:r>
        <w:t>Gap Classification</w:t>
      </w:r>
    </w:p>
    <w:p>
      <w:r>
        <w:t>Structural (needs new data source): 4  |  Prompt improvement: 4  |  Scan coverage (partial scan issue): 2  |  Pillar gap: 1  |  Feature addition: 1</w:t>
      </w:r>
    </w:p>
    <w:p>
      <w:r>
        <w:t>Most critical gap: The entire codebase assessment domain is structurally unreachable without a code scan ingestion pipeline. This accounts for 4 of 12 missed findings and includes the practitioner's only RED-rated domain.</w:t>
      </w:r>
    </w:p>
    <w:p>
      <w:r>
        <w:br w:type="page"/>
      </w:r>
    </w:p>
    <w:p>
      <w:pPr>
        <w:pStyle w:val="Heading1"/>
      </w:pPr>
      <w:r>
        <w:t>6. Dimension 4 — Agent-Only Findings (Unique Value &amp; Noise)</w:t>
      </w:r>
    </w:p>
    <w:p>
      <w:r>
        <w:t>These are findings the agent surfaced that the practitioner report did not emphasize or mention. Some represent genuine unique value; others may be noise or over-interpretation.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E293B"/>
          </w:tcPr>
          <w:p>
            <w:r>
              <w:rPr>
                <w:b/>
                <w:color w:val="FFFFFF"/>
                <w:sz w:val="18"/>
              </w:rPr>
              <w:t>Agent Finding</w:t>
            </w:r>
          </w:p>
        </w:tc>
        <w:tc>
          <w:tcPr>
            <w:tcW w:type="dxa" w:w="2351"/>
            <w:shd w:fill="1E293B"/>
          </w:tcPr>
          <w:p>
            <w:r>
              <w:rPr>
                <w:b/>
                <w:color w:val="FFFFFF"/>
                <w:sz w:val="18"/>
              </w:rPr>
              <w:t>Agent Severity</w:t>
            </w:r>
          </w:p>
        </w:tc>
        <w:tc>
          <w:tcPr>
            <w:tcW w:type="dxa" w:w="2351"/>
            <w:shd w:fill="1E293B"/>
          </w:tcPr>
          <w:p>
            <w:r>
              <w:rPr>
                <w:b/>
                <w:color w:val="FFFFFF"/>
                <w:sz w:val="18"/>
              </w:rPr>
              <w:t>Practitioner View</w:t>
            </w:r>
          </w:p>
        </w:tc>
        <w:tc>
          <w:tcPr>
            <w:tcW w:type="dxa" w:w="2351"/>
            <w:shd w:fill="1E293B"/>
          </w:tcPr>
          <w:p>
            <w:r>
              <w:rPr>
                <w:b/>
                <w:color w:val="FFFFFF"/>
                <w:sz w:val="18"/>
              </w:rPr>
              <w:t>Assessment</w:t>
            </w:r>
          </w:p>
        </w:tc>
      </w:tr>
      <w:tr>
        <w:tc>
          <w:tcPr>
            <w:tcW w:type="dxa" w:w="2351"/>
          </w:tcPr>
          <w:p>
            <w:r>
              <w:t>PHI data mis-routing: 31 incidents, 26 PHI breaches in 2024-2025</w:t>
            </w:r>
          </w:p>
        </w:tc>
        <w:tc>
          <w:tcPr>
            <w:tcW w:type="dxa" w:w="2351"/>
          </w:tcPr>
          <w:p>
            <w:r>
              <w:t>CRITICAL</w:t>
            </w:r>
          </w:p>
        </w:tc>
        <w:tc>
          <w:tcPr>
            <w:tcW w:type="dxa" w:w="2351"/>
          </w:tcPr>
          <w:p>
            <w:r>
              <w:t>Not called out as separate finding. Practitioners rated Security &amp; Compliance GREEN overall.</w:t>
            </w:r>
          </w:p>
        </w:tc>
        <w:tc>
          <w:tcPr>
            <w:tcW w:type="dxa" w:w="2351"/>
          </w:tcPr>
          <w:p>
            <w:r>
              <w:t>GENUINE VALUE — Agent found a critical risk from security logs that practitioners may have under-weighted. 31 PHI incidents in healthcare is a material HIPAA liability.</w:t>
            </w:r>
          </w:p>
        </w:tc>
      </w:tr>
      <w:tr>
        <w:tc>
          <w:tcPr>
            <w:tcW w:type="dxa" w:w="2351"/>
          </w:tcPr>
          <w:p>
            <w:r>
              <w:t>AI governance documentation gap (formal policy marked 'coming soon')</w:t>
            </w:r>
          </w:p>
        </w:tc>
        <w:tc>
          <w:tcPr>
            <w:tcW w:type="dxa" w:w="2351"/>
          </w:tcPr>
          <w:p>
            <w:r>
              <w:t>CRITICAL</w:t>
            </w:r>
          </w:p>
        </w:tc>
        <w:tc>
          <w:tcPr>
            <w:tcW w:type="dxa" w:w="2351"/>
          </w:tcPr>
          <w:p>
            <w:r>
              <w:t>Practitioners noted AI tools exist (Copilot, Cursor, Augment, ChatGPT Enterprise) but did not flag governance gap.</w:t>
            </w:r>
          </w:p>
        </w:tc>
        <w:tc>
          <w:tcPr>
            <w:tcW w:type="dxa" w:w="2351"/>
          </w:tcPr>
          <w:p>
            <w:r>
              <w:t>GENUINE VALUE — Healthcare regulators increasingly scrutinize AI governance. Missing formal AI policy is a real compliance risk.</w:t>
            </w:r>
          </w:p>
        </w:tc>
      </w:tr>
      <w:tr>
        <w:tc>
          <w:tcPr>
            <w:tcW w:type="dxa" w:w="2351"/>
          </w:tcPr>
          <w:p>
            <w:r>
              <w:t>Security incident detection delays: 21-45 days in 2024</w:t>
            </w:r>
          </w:p>
        </w:tc>
        <w:tc>
          <w:tcPr>
            <w:tcW w:type="dxa" w:w="2351"/>
          </w:tcPr>
          <w:p>
            <w:r>
              <w:t>HIGH</w:t>
            </w:r>
          </w:p>
        </w:tc>
        <w:tc>
          <w:tcPr>
            <w:tcW w:type="dxa" w:w="2351"/>
          </w:tcPr>
          <w:p>
            <w:r>
              <w:t>Not separately called out. Practitioners rated Incident Response as LOW risk.</w:t>
            </w:r>
          </w:p>
        </w:tc>
        <w:tc>
          <w:tcPr>
            <w:tcW w:type="dxa" w:w="2351"/>
          </w:tcPr>
          <w:p>
            <w:r>
              <w:t>GENUINE VALUE — Agent pulled specific metrics from security logs. 21-45 day detection delay in healthcare is concerning and materially different from practitioner's 'Low' assessment.</w:t>
            </w:r>
          </w:p>
        </w:tc>
      </w:tr>
      <w:tr>
        <w:tc>
          <w:tcPr>
            <w:tcW w:type="dxa" w:w="2351"/>
          </w:tcPr>
          <w:p>
            <w:r>
              <w:t>eChart performance: 46+ second API endpoints, 7+ minute print ops</w:t>
            </w:r>
          </w:p>
        </w:tc>
        <w:tc>
          <w:tcPr>
            <w:tcW w:type="dxa" w:w="2351"/>
          </w:tcPr>
          <w:p>
            <w:r>
              <w:t>MEDIUM</w:t>
            </w:r>
          </w:p>
        </w:tc>
        <w:tc>
          <w:tcPr>
            <w:tcW w:type="dxa" w:w="2351"/>
          </w:tcPr>
          <w:p>
            <w:r>
              <w:t>Not in practitioner report.</w:t>
            </w:r>
          </w:p>
        </w:tc>
        <w:tc>
          <w:tcPr>
            <w:tcW w:type="dxa" w:w="2351"/>
          </w:tcPr>
          <w:p>
            <w:r>
              <w:t>GENUINE VALUE — Agent pulled New Relic data. Product performance impacts user adoption and customer satisfaction.</w:t>
            </w:r>
          </w:p>
        </w:tc>
      </w:tr>
      <w:tr>
        <w:tc>
          <w:tcPr>
            <w:tcW w:type="dxa" w:w="2351"/>
          </w:tcPr>
          <w:p>
            <w:r>
              <w:t>Critical VDR documents corrupted or over-redacted</w:t>
            </w:r>
          </w:p>
        </w:tc>
        <w:tc>
          <w:tcPr>
            <w:tcW w:type="dxa" w:w="2351"/>
          </w:tcPr>
          <w:p>
            <w:r>
              <w:t>HIGH</w:t>
            </w:r>
          </w:p>
        </w:tc>
        <w:tc>
          <w:tcPr>
            <w:tcW w:type="dxa" w:w="2351"/>
          </w:tcPr>
          <w:p>
            <w:r>
              <w:t>Not mentioned.</w:t>
            </w:r>
          </w:p>
        </w:tc>
        <w:tc>
          <w:tcPr>
            <w:tcW w:type="dxa" w:w="2351"/>
          </w:tcPr>
          <w:p>
            <w:r>
              <w:t>GENUINE VALUE — Agent flagged data room quality issues that could indicate poor deal preparation. Practitioners may have worked around redacted docs through interviews.</w:t>
            </w:r>
          </w:p>
        </w:tc>
      </w:tr>
      <w:tr>
        <w:tc>
          <w:tcPr>
            <w:tcW w:type="dxa" w:w="2351"/>
          </w:tcPr>
          <w:p>
            <w:r>
              <w:t>Change management reporting framework underdeveloped</w:t>
            </w:r>
          </w:p>
        </w:tc>
        <w:tc>
          <w:tcPr>
            <w:tcW w:type="dxa" w:w="2351"/>
          </w:tcPr>
          <w:p>
            <w:r>
              <w:t>MEDIUM</w:t>
            </w:r>
          </w:p>
        </w:tc>
        <w:tc>
          <w:tcPr>
            <w:tcW w:type="dxa" w:w="2351"/>
          </w:tcPr>
          <w:p>
            <w:r>
              <w:t>Practitioners noted change management exists (SOC2 compliant) without flagging reporting gaps.</w:t>
            </w:r>
          </w:p>
        </w:tc>
        <w:tc>
          <w:tcPr>
            <w:tcW w:type="dxa" w:w="2351"/>
          </w:tcPr>
          <w:p>
            <w:r>
              <w:t>MARGINAL — Low-impact finding. Practitioners may have correctly deprioritized this.</w:t>
            </w:r>
          </w:p>
        </w:tc>
      </w:tr>
      <w:tr>
        <w:tc>
          <w:tcPr>
            <w:tcW w:type="dxa" w:w="2351"/>
          </w:tcPr>
          <w:p>
            <w:r>
              <w:t>IT asset management: expired warranties, mixed device ecosystem</w:t>
            </w:r>
          </w:p>
        </w:tc>
        <w:tc>
          <w:tcPr>
            <w:tcW w:type="dxa" w:w="2351"/>
          </w:tcPr>
          <w:p>
            <w:r>
              <w:t>MEDIUM</w:t>
            </w:r>
          </w:p>
        </w:tc>
        <w:tc>
          <w:tcPr>
            <w:tcW w:type="dxa" w:w="2351"/>
          </w:tcPr>
          <w:p>
            <w:r>
              <w:t>Not specifically addressed.</w:t>
            </w:r>
          </w:p>
        </w:tc>
        <w:tc>
          <w:tcPr>
            <w:tcW w:type="dxa" w:w="2351"/>
          </w:tcPr>
          <w:p>
            <w:r>
              <w:t>MARGINAL — Relevant for post-acquisition budgeting but low deal-impact.</w:t>
            </w:r>
          </w:p>
        </w:tc>
      </w:tr>
      <w:tr>
        <w:tc>
          <w:tcPr>
            <w:tcW w:type="dxa" w:w="2351"/>
          </w:tcPr>
          <w:p>
            <w:r>
              <w:t>Data retention policy document completely empty</w:t>
            </w:r>
          </w:p>
        </w:tc>
        <w:tc>
          <w:tcPr>
            <w:tcW w:type="dxa" w:w="2351"/>
          </w:tcPr>
          <w:p>
            <w:r>
              <w:t>RED (Completeness)</w:t>
            </w:r>
          </w:p>
        </w:tc>
        <w:tc>
          <w:tcPr>
            <w:tcW w:type="dxa" w:w="2351"/>
          </w:tcPr>
          <w:p>
            <w:r>
              <w:t>Not flagged.</w:t>
            </w:r>
          </w:p>
        </w:tc>
        <w:tc>
          <w:tcPr>
            <w:tcW w:type="dxa" w:w="2351"/>
          </w:tcPr>
          <w:p>
            <w:r>
              <w:t>GENUINE VALUE — A RED completeness signal indicates VDR gaps that could mask risk.</w:t>
            </w:r>
          </w:p>
        </w:tc>
      </w:tr>
    </w:tbl>
    <w:p/>
    <w:p>
      <w:r>
        <w:t>Genuine unique value: 6/8  |  Marginal/low-impact: 2/8</w:t>
      </w:r>
    </w:p>
    <w:p>
      <w:r>
        <w:t>The agent's noise rate is low. 6 of 8 agent-only findings represent genuine risk signals that practitioners either missed or under-weighted. This is a strong result — the agent adds complementary value especially in log/metrics-based analysis that practitioners may not have time to perform during a compressed engagement.</w:t>
      </w:r>
    </w:p>
    <w:p>
      <w:r>
        <w:br w:type="page"/>
      </w:r>
    </w:p>
    <w:p>
      <w:pPr>
        <w:pStyle w:val="Heading1"/>
      </w:pPr>
      <w:r>
        <w:t>7. Dimension 5 — Source Attribution &amp; Evidence Quality</w:t>
      </w:r>
    </w:p>
    <w:p>
      <w:r>
        <w:t>This dimension assesses the types of evidence each approach relies on and how that affects finding quality.</w:t>
      </w:r>
    </w:p>
    <w:tbl>
      <w:tblPr>
        <w:tblStyle w:val="TableGrid"/>
        <w:tblW w:type="auto" w:w="0"/>
        <w:tblLook w:firstColumn="1" w:firstRow="1" w:lastColumn="0" w:lastRow="0" w:noHBand="0" w:noVBand="1" w:val="04A0"/>
      </w:tblPr>
      <w:tblGrid>
        <w:gridCol w:w="3135"/>
        <w:gridCol w:w="3135"/>
        <w:gridCol w:w="3135"/>
      </w:tblGrid>
      <w:tr>
        <w:tc>
          <w:tcPr>
            <w:tcW w:type="dxa" w:w="3135"/>
            <w:shd w:fill="1E293B"/>
          </w:tcPr>
          <w:p>
            <w:r>
              <w:rPr>
                <w:b/>
                <w:color w:val="FFFFFF"/>
                <w:sz w:val="18"/>
              </w:rPr>
              <w:t>Evidence Type</w:t>
            </w:r>
          </w:p>
        </w:tc>
        <w:tc>
          <w:tcPr>
            <w:tcW w:type="dxa" w:w="3135"/>
            <w:shd w:fill="1E293B"/>
          </w:tcPr>
          <w:p>
            <w:r>
              <w:rPr>
                <w:b/>
                <w:color w:val="FFFFFF"/>
                <w:sz w:val="18"/>
              </w:rPr>
              <w:t>Practitioner</w:t>
            </w:r>
          </w:p>
        </w:tc>
        <w:tc>
          <w:tcPr>
            <w:tcW w:type="dxa" w:w="3135"/>
            <w:shd w:fill="1E293B"/>
          </w:tcPr>
          <w:p>
            <w:r>
              <w:rPr>
                <w:b/>
                <w:color w:val="FFFFFF"/>
                <w:sz w:val="18"/>
              </w:rPr>
              <w:t>Agent</w:t>
            </w:r>
          </w:p>
        </w:tc>
      </w:tr>
      <w:tr>
        <w:tc>
          <w:tcPr>
            <w:tcW w:type="dxa" w:w="3135"/>
          </w:tcPr>
          <w:p>
            <w:r>
              <w:t>Management interviews</w:t>
            </w:r>
          </w:p>
        </w:tc>
        <w:tc>
          <w:tcPr>
            <w:tcW w:type="dxa" w:w="3135"/>
          </w:tcPr>
          <w:p>
            <w:r>
              <w:t>PRIMARY — direct conversations with CTO, CIO, VP Eng, product leads</w:t>
            </w:r>
          </w:p>
        </w:tc>
        <w:tc>
          <w:tcPr>
            <w:tcW w:type="dxa" w:w="3135"/>
          </w:tcPr>
          <w:p>
            <w:r>
              <w:t>NONE — agents cannot conduct interviews</w:t>
            </w:r>
          </w:p>
        </w:tc>
      </w:tr>
      <w:tr>
        <w:tc>
          <w:tcPr>
            <w:tcW w:type="dxa" w:w="3135"/>
          </w:tcPr>
          <w:p>
            <w:r>
              <w:t>VDR documents (policies, procedures, reports)</w:t>
            </w:r>
          </w:p>
        </w:tc>
        <w:tc>
          <w:tcPr>
            <w:tcW w:type="dxa" w:w="3135"/>
          </w:tcPr>
          <w:p>
            <w:r>
              <w:t>SECONDARY — used to validate interview claims</w:t>
            </w:r>
          </w:p>
        </w:tc>
        <w:tc>
          <w:tcPr>
            <w:tcW w:type="dxa" w:w="3135"/>
          </w:tcPr>
          <w:p>
            <w:r>
              <w:t>PRIMARY — sole input for analysis</w:t>
            </w:r>
          </w:p>
        </w:tc>
      </w:tr>
      <w:tr>
        <w:tc>
          <w:tcPr>
            <w:tcW w:type="dxa" w:w="3135"/>
          </w:tcPr>
          <w:p>
            <w:r>
              <w:t>Source code scans (CAST SAST/OSS)</w:t>
            </w:r>
          </w:p>
        </w:tc>
        <w:tc>
          <w:tcPr>
            <w:tcW w:type="dxa" w:w="3135"/>
          </w:tcPr>
          <w:p>
            <w:r>
              <w:t>YES — dedicated code scan report, 28 pages</w:t>
            </w:r>
          </w:p>
        </w:tc>
        <w:tc>
          <w:tcPr>
            <w:tcW w:type="dxa" w:w="3135"/>
          </w:tcPr>
          <w:p>
            <w:r>
              <w:t>NONE — no code access, referenced pen-test summaries only</w:t>
            </w:r>
          </w:p>
        </w:tc>
      </w:tr>
      <w:tr>
        <w:tc>
          <w:tcPr>
            <w:tcW w:type="dxa" w:w="3135"/>
          </w:tcPr>
          <w:p>
            <w:r>
              <w:t>Infrastructure monitoring (New Relic, CloudWatch)</w:t>
            </w:r>
          </w:p>
        </w:tc>
        <w:tc>
          <w:tcPr>
            <w:tcW w:type="dxa" w:w="3135"/>
          </w:tcPr>
          <w:p>
            <w:r>
              <w:t>LIMITED — referenced in architecture discussion</w:t>
            </w:r>
          </w:p>
        </w:tc>
        <w:tc>
          <w:tcPr>
            <w:tcW w:type="dxa" w:w="3135"/>
          </w:tcPr>
          <w:p>
            <w:r>
              <w:t>YES — extracted performance metrics from monitoring reports</w:t>
            </w:r>
          </w:p>
        </w:tc>
      </w:tr>
      <w:tr>
        <w:tc>
          <w:tcPr>
            <w:tcW w:type="dxa" w:w="3135"/>
          </w:tcPr>
          <w:p>
            <w:r>
              <w:t>Security logs / incident reports</w:t>
            </w:r>
          </w:p>
        </w:tc>
        <w:tc>
          <w:tcPr>
            <w:tcW w:type="dxa" w:w="3135"/>
          </w:tcPr>
          <w:p>
            <w:r>
              <w:t>LIMITED — not separately analyzed</w:t>
            </w:r>
          </w:p>
        </w:tc>
        <w:tc>
          <w:tcPr>
            <w:tcW w:type="dxa" w:w="3135"/>
          </w:tcPr>
          <w:p>
            <w:r>
              <w:t>YES — found 31 PHI incidents, detection delay metrics</w:t>
            </w:r>
          </w:p>
        </w:tc>
      </w:tr>
      <w:tr>
        <w:tc>
          <w:tcPr>
            <w:tcW w:type="dxa" w:w="3135"/>
          </w:tcPr>
          <w:p>
            <w:r>
              <w:t>Financial data (AWS bills, payroll)</w:t>
            </w:r>
          </w:p>
        </w:tc>
        <w:tc>
          <w:tcPr>
            <w:tcW w:type="dxa" w:w="3135"/>
          </w:tcPr>
          <w:p>
            <w:r>
              <w:t>YES — monthly spend breakdowns, R&amp;D benchmarking</w:t>
            </w:r>
          </w:p>
        </w:tc>
        <w:tc>
          <w:tcPr>
            <w:tcW w:type="dxa" w:w="3135"/>
          </w:tcPr>
          <w:p>
            <w:r>
              <w:t>PARTIAL — caught cost volatility pattern only</w:t>
            </w:r>
          </w:p>
        </w:tc>
      </w:tr>
      <w:tr>
        <w:tc>
          <w:tcPr>
            <w:tcW w:type="dxa" w:w="3135"/>
          </w:tcPr>
          <w:p>
            <w:r>
              <w:t>Org charts / headcount data</w:t>
            </w:r>
          </w:p>
        </w:tc>
        <w:tc>
          <w:tcPr>
            <w:tcW w:type="dxa" w:w="3135"/>
          </w:tcPr>
          <w:p>
            <w:r>
              <w:t>YES — detailed org chart with FTE/contractor splits</w:t>
            </w:r>
          </w:p>
        </w:tc>
        <w:tc>
          <w:tcPr>
            <w:tcW w:type="dxa" w:w="3135"/>
          </w:tcPr>
          <w:p>
            <w:r>
              <w:t>MINIMAL — found succession gap, not structure detail</w:t>
            </w:r>
          </w:p>
        </w:tc>
      </w:tr>
      <w:tr>
        <w:tc>
          <w:tcPr>
            <w:tcW w:type="dxa" w:w="3135"/>
          </w:tcPr>
          <w:p>
            <w:r>
              <w:t>Compliance audit reports (SOC2, HITRUST)</w:t>
            </w:r>
          </w:p>
        </w:tc>
        <w:tc>
          <w:tcPr>
            <w:tcW w:type="dxa" w:w="3135"/>
          </w:tcPr>
          <w:p>
            <w:r>
              <w:t>YES — control-by-control assessment tables</w:t>
            </w:r>
          </w:p>
        </w:tc>
        <w:tc>
          <w:tcPr>
            <w:tcW w:type="dxa" w:w="3135"/>
          </w:tcPr>
          <w:p>
            <w:r>
              <w:t>YES — extracted certification status and audit gaps</w:t>
            </w:r>
          </w:p>
        </w:tc>
      </w:tr>
      <w:tr>
        <w:tc>
          <w:tcPr>
            <w:tcW w:type="dxa" w:w="3135"/>
          </w:tcPr>
          <w:p>
            <w:r>
              <w:t>Pen test reports</w:t>
            </w:r>
          </w:p>
        </w:tc>
        <w:tc>
          <w:tcPr>
            <w:tcW w:type="dxa" w:w="3135"/>
          </w:tcPr>
          <w:p>
            <w:r>
              <w:t>YES — referenced findings</w:t>
            </w:r>
          </w:p>
        </w:tc>
        <w:tc>
          <w:tcPr>
            <w:tcW w:type="dxa" w:w="3135"/>
          </w:tcPr>
          <w:p>
            <w:r>
              <w:t>YES — caught critical vuln finding</w:t>
            </w:r>
          </w:p>
        </w:tc>
      </w:tr>
      <w:tr>
        <w:tc>
          <w:tcPr>
            <w:tcW w:type="dxa" w:w="3135"/>
          </w:tcPr>
          <w:p>
            <w:r>
              <w:t>Product demos / screenshots</w:t>
            </w:r>
          </w:p>
        </w:tc>
        <w:tc>
          <w:tcPr>
            <w:tcW w:type="dxa" w:w="3135"/>
          </w:tcPr>
          <w:p>
            <w:r>
              <w:t>YES — product walkthrough during interviews</w:t>
            </w:r>
          </w:p>
        </w:tc>
        <w:tc>
          <w:tcPr>
            <w:tcW w:type="dxa" w:w="3135"/>
          </w:tcPr>
          <w:p>
            <w:r>
              <w:t>NONE — no visual/interactive access</w:t>
            </w:r>
          </w:p>
        </w:tc>
      </w:tr>
    </w:tbl>
    <w:p/>
    <w:p>
      <w:r>
        <w:t>The fundamental asymmetry: Practitioners excel at interview-based and source-code-based findings. Agents excel at exhaustive document scanning, log/metrics extraction, and pattern detection across large volumes. A calibrated system should leverage both: agents as the first pass to identify all document-derivable signals, practitioners to validate, contextualize, and add interview/code-based depth.</w:t>
      </w:r>
    </w:p>
    <w:p>
      <w:r>
        <w:br w:type="page"/>
      </w:r>
    </w:p>
    <w:p>
      <w:pPr>
        <w:pStyle w:val="Heading1"/>
      </w:pPr>
      <w:r>
        <w:t>8. Dimension 6 — Structural Learnings &amp; Improvement Plan</w:t>
      </w:r>
    </w:p>
    <w:p>
      <w:pPr>
        <w:pStyle w:val="Heading2"/>
      </w:pPr>
      <w:r>
        <w:t>8.1 What Agents Do Well</w:t>
      </w:r>
    </w:p>
    <w:p>
      <w:pPr>
        <w:pStyle w:val="ListBullet"/>
      </w:pPr>
      <w:r>
        <w:t>Exhaustive VDR document scanning — caught signals in monitoring reports, security logs, and compliance audits that practitioners deprioritized or didn't review in detail</w:t>
      </w:r>
    </w:p>
    <w:p>
      <w:pPr>
        <w:pStyle w:val="ListBullet"/>
      </w:pPr>
      <w:r>
        <w:t>Pattern detection across large document sets — identified cost volatility, PHI incident patterns, and audit failure recurrence</w:t>
      </w:r>
    </w:p>
    <w:p>
      <w:pPr>
        <w:pStyle w:val="ListBullet"/>
      </w:pPr>
      <w:r>
        <w:t>Completeness checking — flagged empty/corrupted VDR documents as a risk signal</w:t>
      </w:r>
    </w:p>
    <w:p>
      <w:pPr>
        <w:pStyle w:val="ListBullet"/>
      </w:pPr>
      <w:r>
        <w:t>AI/data governance gap detection — surfaced a CRITICAL finding that practitioners overlooked</w:t>
      </w:r>
    </w:p>
    <w:p>
      <w:pPr>
        <w:pStyle w:val="ListBullet"/>
      </w:pPr>
      <w:r>
        <w:t>Performance metrics extraction — pulled specific latency numbers from New Relic data</w:t>
      </w:r>
    </w:p>
    <w:p>
      <w:pPr>
        <w:pStyle w:val="ListBullet"/>
      </w:pPr>
      <w:r>
        <w:t>Consistency — applies the same assessment framework to every document without fatigue or time pressure</w:t>
      </w:r>
    </w:p>
    <w:p>
      <w:pPr>
        <w:pStyle w:val="Heading2"/>
      </w:pPr>
      <w:r>
        <w:t>8.2 What Agents Cannot Do (Structural Limits)</w:t>
      </w:r>
    </w:p>
    <w:p>
      <w:pPr>
        <w:pStyle w:val="ListBullet"/>
      </w:pPr>
      <w:r>
        <w:t>Source code analysis — no SAST/OSS scanning capability; will always need external scan ingestion</w:t>
      </w:r>
    </w:p>
    <w:p>
      <w:pPr>
        <w:pStyle w:val="ListBullet"/>
      </w:pPr>
      <w:r>
        <w:t>Management interviews — cannot probe intent, validate claims, or read organizational dynamics</w:t>
      </w:r>
    </w:p>
    <w:p>
      <w:pPr>
        <w:pStyle w:val="ListBullet"/>
      </w:pPr>
      <w:r>
        <w:t>Product demos — cannot evaluate UX, workflow design, or user experience quality</w:t>
      </w:r>
    </w:p>
    <w:p>
      <w:pPr>
        <w:pStyle w:val="ListBullet"/>
      </w:pPr>
      <w:r>
        <w:t>Org chart interpretation — can read structure but cannot assess leadership quality, team morale, or cultural fit</w:t>
      </w:r>
    </w:p>
    <w:p>
      <w:pPr>
        <w:pStyle w:val="ListBullet"/>
      </w:pPr>
      <w:r>
        <w:t>Benchmarking against industry norms — lacks the practitioner's mental database of 'what good looks like' across hundreds of deals</w:t>
      </w:r>
    </w:p>
    <w:p>
      <w:pPr>
        <w:pStyle w:val="ListBullet"/>
      </w:pPr>
      <w:r>
        <w:t>Remediation cost estimation — can identify risk but cannot estimate fix cost without calibration data</w:t>
      </w:r>
    </w:p>
    <w:p>
      <w:pPr>
        <w:pStyle w:val="Heading2"/>
      </w:pPr>
      <w:r>
        <w:t>8.3 High-Priority Improvement Actions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E293B"/>
          </w:tcPr>
          <w:p>
            <w:r>
              <w:rPr>
                <w:b/>
                <w:color w:val="FFFFFF"/>
                <w:sz w:val="18"/>
              </w:rPr>
              <w:t>#</w:t>
            </w:r>
          </w:p>
        </w:tc>
        <w:tc>
          <w:tcPr>
            <w:tcW w:type="dxa" w:w="1881"/>
            <w:shd w:fill="1E293B"/>
          </w:tcPr>
          <w:p>
            <w:r>
              <w:rPr>
                <w:b/>
                <w:color w:val="FFFFFF"/>
                <w:sz w:val="18"/>
              </w:rPr>
              <w:t>Improvement</w:t>
            </w:r>
          </w:p>
        </w:tc>
        <w:tc>
          <w:tcPr>
            <w:tcW w:type="dxa" w:w="1881"/>
            <w:shd w:fill="1E293B"/>
          </w:tcPr>
          <w:p>
            <w:r>
              <w:rPr>
                <w:b/>
                <w:color w:val="FFFFFF"/>
                <w:sz w:val="18"/>
              </w:rPr>
              <w:t>Type</w:t>
            </w:r>
          </w:p>
        </w:tc>
        <w:tc>
          <w:tcPr>
            <w:tcW w:type="dxa" w:w="1881"/>
            <w:shd w:fill="1E293B"/>
          </w:tcPr>
          <w:p>
            <w:r>
              <w:rPr>
                <w:b/>
                <w:color w:val="FFFFFF"/>
                <w:sz w:val="18"/>
              </w:rPr>
              <w:t>Impact</w:t>
            </w:r>
          </w:p>
        </w:tc>
        <w:tc>
          <w:tcPr>
            <w:tcW w:type="dxa" w:w="1881"/>
            <w:shd w:fill="1E293B"/>
          </w:tcPr>
          <w:p>
            <w:r>
              <w:rPr>
                <w:b/>
                <w:color w:val="FFFFFF"/>
                <w:sz w:val="18"/>
              </w:rPr>
              <w:t>Effort</w:t>
            </w:r>
          </w:p>
        </w:tc>
      </w:tr>
      <w:tr>
        <w:tc>
          <w:tcPr>
            <w:tcW w:type="dxa" w:w="1881"/>
          </w:tcPr>
          <w:p>
            <w:r>
              <w:t>1</w:t>
            </w:r>
          </w:p>
        </w:tc>
        <w:tc>
          <w:tcPr>
            <w:tcW w:type="dxa" w:w="1881"/>
          </w:tcPr>
          <w:p>
            <w:r>
              <w:t>Code scan ingestion pipeline (accept CAST/Snyk/SonarQube outputs)</w:t>
            </w:r>
          </w:p>
        </w:tc>
        <w:tc>
          <w:tcPr>
            <w:tcW w:type="dxa" w:w="1881"/>
          </w:tcPr>
          <w:p>
            <w:r>
              <w:t>New Agent/Tool</w:t>
            </w:r>
          </w:p>
        </w:tc>
        <w:tc>
          <w:tcPr>
            <w:tcW w:type="dxa" w:w="1881"/>
          </w:tcPr>
          <w:p>
            <w:r>
              <w:t>CRITICAL — closes biggest gap (codebase domain)</w:t>
            </w:r>
          </w:p>
        </w:tc>
        <w:tc>
          <w:tcPr>
            <w:tcW w:type="dxa" w:w="1881"/>
          </w:tcPr>
          <w:p>
            <w:r>
              <w:t>Medium</w:t>
            </w:r>
          </w:p>
        </w:tc>
      </w:tr>
      <w:tr>
        <w:tc>
          <w:tcPr>
            <w:tcW w:type="dxa" w:w="1881"/>
          </w:tcPr>
          <w:p>
            <w:r>
              <w:t>2</w:t>
            </w:r>
          </w:p>
        </w:tc>
        <w:tc>
          <w:tcPr>
            <w:tcW w:type="dxa" w:w="1881"/>
          </w:tcPr>
          <w:p>
            <w:r>
              <w:t>Complete VDR scan (all 640 docs, not 104)</w:t>
            </w:r>
          </w:p>
        </w:tc>
        <w:tc>
          <w:tcPr>
            <w:tcW w:type="dxa" w:w="1881"/>
          </w:tcPr>
          <w:p>
            <w:r>
              <w:t>Bug Fix</w:t>
            </w:r>
          </w:p>
        </w:tc>
        <w:tc>
          <w:tcPr>
            <w:tcW w:type="dxa" w:w="1881"/>
          </w:tcPr>
          <w:p>
            <w:r>
              <w:t>HIGH — R&amp;D Spend and other domains had NO_DATA due to partial scan</w:t>
            </w:r>
          </w:p>
        </w:tc>
        <w:tc>
          <w:tcPr>
            <w:tcW w:type="dxa" w:w="1881"/>
          </w:tcPr>
          <w:p>
            <w:r>
              <w:t>Done (token fix)</w:t>
            </w:r>
          </w:p>
        </w:tc>
      </w:tr>
      <w:tr>
        <w:tc>
          <w:tcPr>
            <w:tcW w:type="dxa" w:w="1881"/>
          </w:tcPr>
          <w:p>
            <w:r>
              <w:t>3</w:t>
            </w:r>
          </w:p>
        </w:tc>
        <w:tc>
          <w:tcPr>
            <w:tcW w:type="dxa" w:w="1881"/>
          </w:tcPr>
          <w:p>
            <w:r>
              <w:t>Org structure analysis prompts (span-of-control, consolidation, reporting lines)</w:t>
            </w:r>
          </w:p>
        </w:tc>
        <w:tc>
          <w:tcPr>
            <w:tcW w:type="dxa" w:w="1881"/>
          </w:tcPr>
          <w:p>
            <w:r>
              <w:t>Prompt Enhancement</w:t>
            </w:r>
          </w:p>
        </w:tc>
        <w:tc>
          <w:tcPr>
            <w:tcW w:type="dxa" w:w="1881"/>
          </w:tcPr>
          <w:p>
            <w:r>
              <w:t>HIGH — agent missed major restructure recommendation</w:t>
            </w:r>
          </w:p>
        </w:tc>
        <w:tc>
          <w:tcPr>
            <w:tcW w:type="dxa" w:w="1881"/>
          </w:tcPr>
          <w:p>
            <w:r>
              <w:t>Low</w:t>
            </w:r>
          </w:p>
        </w:tc>
      </w:tr>
      <w:tr>
        <w:tc>
          <w:tcPr>
            <w:tcW w:type="dxa" w:w="1881"/>
          </w:tcPr>
          <w:p>
            <w:r>
              <w:t>4</w:t>
            </w:r>
          </w:p>
        </w:tc>
        <w:tc>
          <w:tcPr>
            <w:tcW w:type="dxa" w:w="1881"/>
          </w:tcPr>
          <w:p>
            <w:r>
              <w:t>Spend economics extraction (R&amp;D as % revenue, hosting benchmarks)</w:t>
            </w:r>
          </w:p>
        </w:tc>
        <w:tc>
          <w:tcPr>
            <w:tcW w:type="dxa" w:w="1881"/>
          </w:tcPr>
          <w:p>
            <w:r>
              <w:t>Prompt Enhancement</w:t>
            </w:r>
          </w:p>
        </w:tc>
        <w:tc>
          <w:tcPr>
            <w:tcW w:type="dxa" w:w="1881"/>
          </w:tcPr>
          <w:p>
            <w:r>
              <w:t>HIGH — agent had cost data but didn't benchmark or total</w:t>
            </w:r>
          </w:p>
        </w:tc>
        <w:tc>
          <w:tcPr>
            <w:tcW w:type="dxa" w:w="1881"/>
          </w:tcPr>
          <w:p>
            <w:r>
              <w:t>Low</w:t>
            </w:r>
          </w:p>
        </w:tc>
      </w:tr>
      <w:tr>
        <w:tc>
          <w:tcPr>
            <w:tcW w:type="dxa" w:w="1881"/>
          </w:tcPr>
          <w:p>
            <w:r>
              <w:t>5</w:t>
            </w:r>
          </w:p>
        </w:tc>
        <w:tc>
          <w:tcPr>
            <w:tcW w:type="dxa" w:w="1881"/>
          </w:tcPr>
          <w:p>
            <w:r>
              <w:t>Product Overview pillar (market position, competitive context, product-market fit)</w:t>
            </w:r>
          </w:p>
        </w:tc>
        <w:tc>
          <w:tcPr>
            <w:tcW w:type="dxa" w:w="1881"/>
          </w:tcPr>
          <w:p>
            <w:r>
              <w:t>New Pillar</w:t>
            </w:r>
          </w:p>
        </w:tc>
        <w:tc>
          <w:tcPr>
            <w:tcW w:type="dxa" w:w="1881"/>
          </w:tcPr>
          <w:p>
            <w:r>
              <w:t>MEDIUM — adds context that shapes risk interpretation</w:t>
            </w:r>
          </w:p>
        </w:tc>
        <w:tc>
          <w:tcPr>
            <w:tcW w:type="dxa" w:w="1881"/>
          </w:tcPr>
          <w:p>
            <w:r>
              <w:t>Medium</w:t>
            </w:r>
          </w:p>
        </w:tc>
      </w:tr>
      <w:tr>
        <w:tc>
          <w:tcPr>
            <w:tcW w:type="dxa" w:w="1881"/>
          </w:tcPr>
          <w:p>
            <w:r>
              <w:t>6</w:t>
            </w:r>
          </w:p>
        </w:tc>
        <w:tc>
          <w:tcPr>
            <w:tcW w:type="dxa" w:w="1881"/>
          </w:tcPr>
          <w:p>
            <w:r>
              <w:t>Remediation cost estimation heuristics</w:t>
            </w:r>
          </w:p>
        </w:tc>
        <w:tc>
          <w:tcPr>
            <w:tcW w:type="dxa" w:w="1881"/>
          </w:tcPr>
          <w:p>
            <w:r>
              <w:t>New Feature</w:t>
            </w:r>
          </w:p>
        </w:tc>
        <w:tc>
          <w:tcPr>
            <w:tcW w:type="dxa" w:w="1881"/>
          </w:tcPr>
          <w:p>
            <w:r>
              <w:t>MEDIUM — practitioners always provide cost estimates, agents don't</w:t>
            </w:r>
          </w:p>
        </w:tc>
        <w:tc>
          <w:tcPr>
            <w:tcW w:type="dxa" w:w="1881"/>
          </w:tcPr>
          <w:p>
            <w:r>
              <w:t>Medium</w:t>
            </w:r>
          </w:p>
        </w:tc>
      </w:tr>
      <w:tr>
        <w:tc>
          <w:tcPr>
            <w:tcW w:type="dxa" w:w="1881"/>
          </w:tcPr>
          <w:p>
            <w:r>
              <w:t>7</w:t>
            </w:r>
          </w:p>
        </w:tc>
        <w:tc>
          <w:tcPr>
            <w:tcW w:type="dxa" w:w="1881"/>
          </w:tcPr>
          <w:p>
            <w:r>
              <w:t>Tooling landscape extraction (dev tools, enterprise tools inventory)</w:t>
            </w:r>
          </w:p>
        </w:tc>
        <w:tc>
          <w:tcPr>
            <w:tcW w:type="dxa" w:w="1881"/>
          </w:tcPr>
          <w:p>
            <w:r>
              <w:t>Prompt Enhancement</w:t>
            </w:r>
          </w:p>
        </w:tc>
        <w:tc>
          <w:tcPr>
            <w:tcW w:type="dxa" w:w="1881"/>
          </w:tcPr>
          <w:p>
            <w:r>
              <w:t>LOW — useful for Enterprise IT completeness</w:t>
            </w:r>
          </w:p>
        </w:tc>
        <w:tc>
          <w:tcPr>
            <w:tcW w:type="dxa" w:w="1881"/>
          </w:tcPr>
          <w:p>
            <w:r>
              <w:t>Low</w:t>
            </w:r>
          </w:p>
        </w:tc>
      </w:tr>
      <w:tr>
        <w:tc>
          <w:tcPr>
            <w:tcW w:type="dxa" w:w="1881"/>
          </w:tcPr>
          <w:p>
            <w:r>
              <w:t>8</w:t>
            </w:r>
          </w:p>
        </w:tc>
        <w:tc>
          <w:tcPr>
            <w:tcW w:type="dxa" w:w="1881"/>
          </w:tcPr>
          <w:p>
            <w:r>
              <w:t>Customer concentration analysis (top customer % of CARR, platform risk)</w:t>
            </w:r>
          </w:p>
        </w:tc>
        <w:tc>
          <w:tcPr>
            <w:tcW w:type="dxa" w:w="1881"/>
          </w:tcPr>
          <w:p>
            <w:r>
              <w:t>Prompt Enhancement</w:t>
            </w:r>
          </w:p>
        </w:tc>
        <w:tc>
          <w:tcPr>
            <w:tcW w:type="dxa" w:w="1881"/>
          </w:tcPr>
          <w:p>
            <w:r>
              <w:t>MEDIUM — commercial risk that agents currently miss</w:t>
            </w:r>
          </w:p>
        </w:tc>
        <w:tc>
          <w:tcPr>
            <w:tcW w:type="dxa" w:w="1881"/>
          </w:tcPr>
          <w:p>
            <w:r>
              <w:t>Low</w:t>
            </w:r>
          </w:p>
        </w:tc>
      </w:tr>
      <w:tr>
        <w:tc>
          <w:tcPr>
            <w:tcW w:type="dxa" w:w="1881"/>
          </w:tcPr>
          <w:p>
            <w:r>
              <w:t>9</w:t>
            </w:r>
          </w:p>
        </w:tc>
        <w:tc>
          <w:tcPr>
            <w:tcW w:type="dxa" w:w="1881"/>
          </w:tcPr>
          <w:p>
            <w:r>
              <w:t>Migration risk analysis (multi-cloud consolidation, customer interface count)</w:t>
            </w:r>
          </w:p>
        </w:tc>
        <w:tc>
          <w:tcPr>
            <w:tcW w:type="dxa" w:w="1881"/>
          </w:tcPr>
          <w:p>
            <w:r>
              <w:t>Prompt Enhancement</w:t>
            </w:r>
          </w:p>
        </w:tc>
        <w:tc>
          <w:tcPr>
            <w:tcW w:type="dxa" w:w="1881"/>
          </w:tcPr>
          <w:p>
            <w:r>
              <w:t>MEDIUM — specific to multi-product platform companies</w:t>
            </w:r>
          </w:p>
        </w:tc>
        <w:tc>
          <w:tcPr>
            <w:tcW w:type="dxa" w:w="1881"/>
          </w:tcPr>
          <w:p>
            <w:r>
              <w:t>Low</w:t>
            </w:r>
          </w:p>
        </w:tc>
      </w:tr>
      <w:tr>
        <w:tc>
          <w:tcPr>
            <w:tcW w:type="dxa" w:w="1881"/>
          </w:tcPr>
          <w:p>
            <w:r>
              <w:t>10</w:t>
            </w:r>
          </w:p>
        </w:tc>
        <w:tc>
          <w:tcPr>
            <w:tcW w:type="dxa" w:w="1881"/>
          </w:tcPr>
          <w:p>
            <w:r>
              <w:t>Severity calibration tuning (reduce over-rating of operational risks)</w:t>
            </w:r>
          </w:p>
        </w:tc>
        <w:tc>
          <w:tcPr>
            <w:tcW w:type="dxa" w:w="1881"/>
          </w:tcPr>
          <w:p>
            <w:r>
              <w:t>Prompt Tuning</w:t>
            </w:r>
          </w:p>
        </w:tc>
        <w:tc>
          <w:tcPr>
            <w:tcW w:type="dxa" w:w="1881"/>
          </w:tcPr>
          <w:p>
            <w:r>
              <w:t>MEDIUM — agent rated 5 items higher than practitioners</w:t>
            </w:r>
          </w:p>
        </w:tc>
        <w:tc>
          <w:tcPr>
            <w:tcW w:type="dxa" w:w="1881"/>
          </w:tcPr>
          <w:p>
            <w:r>
              <w:t>Low</w:t>
            </w:r>
          </w:p>
        </w:tc>
      </w:tr>
    </w:tbl>
    <w:p>
      <w:r>
        <w:br w:type="page"/>
      </w:r>
    </w:p>
    <w:p>
      <w:pPr>
        <w:pStyle w:val="Heading1"/>
      </w:pPr>
      <w:r>
        <w:t>9. Compound Risk Comparison</w:t>
      </w:r>
    </w:p>
    <w:p>
      <w:r>
        <w:t>Both practitioner and agent identify cross-cutting risks that span multiple domains. This section compares their compound/cross-cutting findings.</w:t>
      </w:r>
    </w:p>
    <w:tbl>
      <w:tblPr>
        <w:tblStyle w:val="TableGrid"/>
        <w:tblW w:type="auto" w:w="0"/>
        <w:tblLook w:firstColumn="1" w:firstRow="1" w:lastColumn="0" w:lastRow="0" w:noHBand="0" w:noVBand="1" w:val="04A0"/>
      </w:tblPr>
      <w:tblGrid>
        <w:gridCol w:w="3135"/>
        <w:gridCol w:w="3135"/>
        <w:gridCol w:w="3135"/>
      </w:tblGrid>
      <w:tr>
        <w:tc>
          <w:tcPr>
            <w:tcW w:type="dxa" w:w="3135"/>
            <w:shd w:fill="1E293B"/>
          </w:tcPr>
          <w:p>
            <w:r>
              <w:rPr>
                <w:b/>
                <w:color w:val="FFFFFF"/>
                <w:sz w:val="18"/>
              </w:rPr>
              <w:t>Agent Compound Risk</w:t>
            </w:r>
          </w:p>
        </w:tc>
        <w:tc>
          <w:tcPr>
            <w:tcW w:type="dxa" w:w="3135"/>
            <w:shd w:fill="1E293B"/>
          </w:tcPr>
          <w:p>
            <w:r>
              <w:rPr>
                <w:b/>
                <w:color w:val="FFFFFF"/>
                <w:sz w:val="18"/>
              </w:rPr>
              <w:t>Practitioner Equivalent</w:t>
            </w:r>
          </w:p>
        </w:tc>
        <w:tc>
          <w:tcPr>
            <w:tcW w:type="dxa" w:w="3135"/>
            <w:shd w:fill="1E293B"/>
          </w:tcPr>
          <w:p>
            <w:r>
              <w:rPr>
                <w:b/>
                <w:color w:val="FFFFFF"/>
                <w:sz w:val="18"/>
              </w:rPr>
              <w:t>Assessment</w:t>
            </w:r>
          </w:p>
        </w:tc>
      </w:tr>
      <w:tr>
        <w:tc>
          <w:tcPr>
            <w:tcW w:type="dxa" w:w="3135"/>
          </w:tcPr>
          <w:p>
            <w:r>
              <w:t>Critical Healthcare Compliance and Security Exposure</w:t>
            </w:r>
          </w:p>
        </w:tc>
        <w:tc>
          <w:tcPr>
            <w:tcW w:type="dxa" w:w="3135"/>
          </w:tcPr>
          <w:p>
            <w:r>
              <w:t>Partially matched — practitioners rated Security GREEN but flagged customer MFA and vendor review gaps</w:t>
            </w:r>
          </w:p>
        </w:tc>
        <w:tc>
          <w:tcPr>
            <w:tcW w:type="dxa" w:w="3135"/>
          </w:tcPr>
          <w:p>
            <w:r>
              <w:t>Agent identified a more severe cross-cutting risk by combining PHI incidents + compliance audit failures + security gaps. Agent's compound view may be more accurate.</w:t>
            </w:r>
          </w:p>
        </w:tc>
      </w:tr>
      <w:tr>
        <w:tc>
          <w:tcPr>
            <w:tcW w:type="dxa" w:w="3135"/>
          </w:tcPr>
          <w:p>
            <w:r>
              <w:t>Infrastructure Cost Management and Operational Control Gaps</w:t>
            </w:r>
          </w:p>
        </w:tc>
        <w:tc>
          <w:tcPr>
            <w:tcW w:type="dxa" w:w="3135"/>
          </w:tcPr>
          <w:p>
            <w:r>
              <w:t>Matched — practitioners flagged AWS cost volatility, CSpire cost, and recommended optimization</w:t>
            </w:r>
          </w:p>
        </w:tc>
        <w:tc>
          <w:tcPr>
            <w:tcW w:type="dxa" w:w="3135"/>
          </w:tcPr>
          <w:p>
            <w:r>
              <w:t>Good alignment. Agent added the dual-cost burden framing.</w:t>
            </w:r>
          </w:p>
        </w:tc>
      </w:tr>
      <w:tr>
        <w:tc>
          <w:tcPr>
            <w:tcW w:type="dxa" w:w="3135"/>
          </w:tcPr>
          <w:p>
            <w:r>
              <w:t>Security Governance Process Failures Across Multiple Systems</w:t>
            </w:r>
          </w:p>
        </w:tc>
        <w:tc>
          <w:tcPr>
            <w:tcW w:type="dxa" w:w="3135"/>
          </w:tcPr>
          <w:p>
            <w:r>
              <w:t>Partially matched — practitioners noted individual control gaps but rated overall governance LOW risk</w:t>
            </w:r>
          </w:p>
        </w:tc>
        <w:tc>
          <w:tcPr>
            <w:tcW w:type="dxa" w:w="3135"/>
          </w:tcPr>
          <w:p>
            <w:r>
              <w:t>Agent connected dots across multiple process failures. Practitioners may have relied on management assurances from interviews.</w:t>
            </w:r>
          </w:p>
        </w:tc>
      </w:tr>
      <w:tr>
        <w:tc>
          <w:tcPr>
            <w:tcW w:type="dxa" w:w="3135"/>
          </w:tcPr>
          <w:p>
            <w:r>
              <w:t>Technical Documentation and Due Diligence Completeness Issues</w:t>
            </w:r>
          </w:p>
        </w:tc>
        <w:tc>
          <w:tcPr>
            <w:tcW w:type="dxa" w:w="3135"/>
          </w:tcPr>
          <w:p>
            <w:r>
              <w:t>Not identified by practitioners</w:t>
            </w:r>
          </w:p>
        </w:tc>
        <w:tc>
          <w:tcPr>
            <w:tcW w:type="dxa" w:w="3135"/>
          </w:tcPr>
          <w:p>
            <w:r>
              <w:t>Unique agent finding — flagged corrupted/redacted VDR docs as meta-risk. Practitioners worked around gaps via interviews.</w:t>
            </w:r>
          </w:p>
        </w:tc>
      </w:tr>
    </w:tbl>
    <w:p>
      <w:r>
        <w:br w:type="page"/>
      </w:r>
    </w:p>
    <w:p>
      <w:pPr>
        <w:pStyle w:val="Heading1"/>
      </w:pPr>
      <w:r>
        <w:t>10. Calibration Scorecard</w:t>
      </w:r>
    </w:p>
    <w:p>
      <w:r>
        <w:t>This scorecard grades the agent's performance across the six calibration dimensions on a 1-5 scale (5 = practitioner parity).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E293B"/>
          </w:tcPr>
          <w:p>
            <w:r>
              <w:rPr>
                <w:b/>
                <w:color w:val="FFFFFF"/>
                <w:sz w:val="18"/>
              </w:rPr>
              <w:t>Dimension</w:t>
            </w:r>
          </w:p>
        </w:tc>
        <w:tc>
          <w:tcPr>
            <w:tcW w:type="dxa" w:w="2351"/>
            <w:shd w:fill="1E293B"/>
          </w:tcPr>
          <w:p>
            <w:r>
              <w:rPr>
                <w:b/>
                <w:color w:val="FFFFFF"/>
                <w:sz w:val="18"/>
              </w:rPr>
              <w:t>Score (1-5)</w:t>
            </w:r>
          </w:p>
        </w:tc>
        <w:tc>
          <w:tcPr>
            <w:tcW w:type="dxa" w:w="2351"/>
            <w:shd w:fill="1E293B"/>
          </w:tcPr>
          <w:p>
            <w:r>
              <w:rPr>
                <w:b/>
                <w:color w:val="FFFFFF"/>
                <w:sz w:val="18"/>
              </w:rPr>
              <w:t>Grade</w:t>
            </w:r>
          </w:p>
        </w:tc>
        <w:tc>
          <w:tcPr>
            <w:tcW w:type="dxa" w:w="2351"/>
            <w:shd w:fill="1E293B"/>
          </w:tcPr>
          <w:p>
            <w:r>
              <w:rPr>
                <w:b/>
                <w:color w:val="FFFFFF"/>
                <w:sz w:val="18"/>
              </w:rPr>
              <w:t>Key Rationale</w:t>
            </w:r>
          </w:p>
        </w:tc>
      </w:tr>
      <w:tr>
        <w:tc>
          <w:tcPr>
            <w:tcW w:type="dxa" w:w="2351"/>
          </w:tcPr>
          <w:p>
            <w:r>
              <w:t>Coverage Match</w:t>
            </w:r>
          </w:p>
        </w:tc>
        <w:tc>
          <w:tcPr>
            <w:tcW w:type="dxa" w:w="2351"/>
          </w:tcPr>
          <w:p>
            <w:r>
              <w:t>3.5</w:t>
            </w:r>
          </w:p>
        </w:tc>
        <w:tc>
          <w:tcPr>
            <w:tcW w:type="dxa" w:w="2351"/>
          </w:tcPr>
          <w:p>
            <w:r>
              <w:t>B</w:t>
            </w:r>
          </w:p>
        </w:tc>
        <w:tc>
          <w:tcPr>
            <w:tcW w:type="dxa" w:w="2351"/>
          </w:tcPr>
          <w:p>
            <w:r>
              <w:t>61% full/partial coverage. Strong on infra/security/SDLC; gaps in codebase, spend, org depth.</w:t>
            </w:r>
          </w:p>
        </w:tc>
      </w:tr>
      <w:tr>
        <w:tc>
          <w:tcPr>
            <w:tcW w:type="dxa" w:w="2351"/>
          </w:tcPr>
          <w:p>
            <w:r>
              <w:t>Severity Calibration</w:t>
            </w:r>
          </w:p>
        </w:tc>
        <w:tc>
          <w:tcPr>
            <w:tcW w:type="dxa" w:w="2351"/>
          </w:tcPr>
          <w:p>
            <w:r>
              <w:t>3.0</w:t>
            </w:r>
          </w:p>
        </w:tc>
        <w:tc>
          <w:tcPr>
            <w:tcW w:type="dxa" w:w="2351"/>
          </w:tcPr>
          <w:p>
            <w:r>
              <w:t>B-</w:t>
            </w:r>
          </w:p>
        </w:tc>
        <w:tc>
          <w:tcPr>
            <w:tcW w:type="dxa" w:w="2351"/>
          </w:tcPr>
          <w:p>
            <w:r>
              <w:t>3/11 exact match, 6 over-rated, 1 under-rated. Tends hawkish on operational risks.</w:t>
            </w:r>
          </w:p>
        </w:tc>
      </w:tr>
      <w:tr>
        <w:tc>
          <w:tcPr>
            <w:tcW w:type="dxa" w:w="2351"/>
          </w:tcPr>
          <w:p>
            <w:r>
              <w:t>Missed Findings (Gap Rate)</w:t>
            </w:r>
          </w:p>
        </w:tc>
        <w:tc>
          <w:tcPr>
            <w:tcW w:type="dxa" w:w="2351"/>
          </w:tcPr>
          <w:p>
            <w:r>
              <w:t>3.0</w:t>
            </w:r>
          </w:p>
        </w:tc>
        <w:tc>
          <w:tcPr>
            <w:tcW w:type="dxa" w:w="2351"/>
          </w:tcPr>
          <w:p>
            <w:r>
              <w:t>B-</w:t>
            </w:r>
          </w:p>
        </w:tc>
        <w:tc>
          <w:tcPr>
            <w:tcW w:type="dxa" w:w="2351"/>
          </w:tcPr>
          <w:p>
            <w:r>
              <w:t>12 missed findings, but 4 are structural (code), 2 are scan-coverage (partial scan). Fixable gap is 6/12.</w:t>
            </w:r>
          </w:p>
        </w:tc>
      </w:tr>
      <w:tr>
        <w:tc>
          <w:tcPr>
            <w:tcW w:type="dxa" w:w="2351"/>
          </w:tcPr>
          <w:p>
            <w:r>
              <w:t>False Positives / Noise</w:t>
            </w:r>
          </w:p>
        </w:tc>
        <w:tc>
          <w:tcPr>
            <w:tcW w:type="dxa" w:w="2351"/>
          </w:tcPr>
          <w:p>
            <w:r>
              <w:t>4.5</w:t>
            </w:r>
          </w:p>
        </w:tc>
        <w:tc>
          <w:tcPr>
            <w:tcW w:type="dxa" w:w="2351"/>
          </w:tcPr>
          <w:p>
            <w:r>
              <w:t>A</w:t>
            </w:r>
          </w:p>
        </w:tc>
        <w:tc>
          <w:tcPr>
            <w:tcW w:type="dxa" w:w="2351"/>
          </w:tcPr>
          <w:p>
            <w:r>
              <w:t>Only 2/8 agent-only findings were marginal. 75% genuine unique value. Very low noise.</w:t>
            </w:r>
          </w:p>
        </w:tc>
      </w:tr>
      <w:tr>
        <w:tc>
          <w:tcPr>
            <w:tcW w:type="dxa" w:w="2351"/>
          </w:tcPr>
          <w:p>
            <w:r>
              <w:t>Source Attribution</w:t>
            </w:r>
          </w:p>
        </w:tc>
        <w:tc>
          <w:tcPr>
            <w:tcW w:type="dxa" w:w="2351"/>
          </w:tcPr>
          <w:p>
            <w:r>
              <w:t>3.0</w:t>
            </w:r>
          </w:p>
        </w:tc>
        <w:tc>
          <w:tcPr>
            <w:tcW w:type="dxa" w:w="2351"/>
          </w:tcPr>
          <w:p>
            <w:r>
              <w:t>B-</w:t>
            </w:r>
          </w:p>
        </w:tc>
        <w:tc>
          <w:tcPr>
            <w:tcW w:type="dxa" w:w="2351"/>
          </w:tcPr>
          <w:p>
            <w:r>
              <w:t>Strong on document evidence. Zero interview or code scan evidence. Fundamental asymmetry.</w:t>
            </w:r>
          </w:p>
        </w:tc>
      </w:tr>
      <w:tr>
        <w:tc>
          <w:tcPr>
            <w:tcW w:type="dxa" w:w="2351"/>
          </w:tcPr>
          <w:p>
            <w:r>
              <w:t>Structural Learnings</w:t>
            </w:r>
          </w:p>
        </w:tc>
        <w:tc>
          <w:tcPr>
            <w:tcW w:type="dxa" w:w="2351"/>
          </w:tcPr>
          <w:p>
            <w:r>
              <w:t>4.0</w:t>
            </w:r>
          </w:p>
        </w:tc>
        <w:tc>
          <w:tcPr>
            <w:tcW w:type="dxa" w:w="2351"/>
          </w:tcPr>
          <w:p>
            <w:r>
              <w:t>A-</w:t>
            </w:r>
          </w:p>
        </w:tc>
        <w:tc>
          <w:tcPr>
            <w:tcW w:type="dxa" w:w="2351"/>
          </w:tcPr>
          <w:p>
            <w:r>
              <w:t>Clear improvement path. Most gaps are addressable via prompts, new pillars, or scan pipeline.</w:t>
            </w:r>
          </w:p>
        </w:tc>
      </w:tr>
    </w:tbl>
    <w:p/>
    <w:p/>
    <w:p>
      <w:r>
        <w:rPr>
          <w:b/>
          <w:color w:val="1E293B"/>
          <w:sz w:val="28"/>
        </w:rPr>
        <w:t>Overall Calibration Score: 3.5 / 5.0  (Grade: B)</w:t>
      </w:r>
    </w:p>
    <w:p>
      <w:r>
        <w:t>The agent is a strong first-pass triage tool that correctly identifies the majority of risk themes and adds genuine unique value through exhaustive document analysis. Its primary limitations are structural (no code access, no interviews) rather than analytical. With the 10 improvements identified in Section 8.3, the agent could reach a 4.0+ score on future engagements.</w:t>
      </w:r>
    </w:p>
    <w:p>
      <w:r>
        <w:br w:type="page"/>
      </w:r>
    </w:p>
    <w:p>
      <w:pPr>
        <w:pStyle w:val="Heading1"/>
      </w:pPr>
      <w:r>
        <w:t>11. Repeatable Calibration Framework</w:t>
      </w:r>
    </w:p>
    <w:p>
      <w:r>
        <w:t>This section defines the framework for running calibration analysis on future TDD engagements. It is designed to be repeatable, structured, and improvable over time.</w:t>
      </w:r>
    </w:p>
    <w:p>
      <w:pPr>
        <w:pStyle w:val="Heading2"/>
      </w:pPr>
      <w:r>
        <w:t>11.1 When to Run Calibration</w:t>
      </w:r>
    </w:p>
    <w:p>
      <w:r>
        <w:t>Run calibration after every engagement where both practitioner and agent assessments are available. Minimum: once per quarter. Ideal: every deal where practitioners produce a final report.</w:t>
      </w:r>
    </w:p>
    <w:p>
      <w:pPr>
        <w:pStyle w:val="Heading2"/>
      </w:pPr>
      <w:r>
        <w:t>11.2 Inputs Required</w:t>
      </w:r>
    </w:p>
    <w:p>
      <w:pPr>
        <w:pStyle w:val="ListBullet"/>
      </w:pPr>
      <w:r>
        <w:t>Practitioner final report (PDF/DOCX)</w:t>
      </w:r>
    </w:p>
    <w:p>
      <w:pPr>
        <w:pStyle w:val="ListBullet"/>
      </w:pPr>
      <w:r>
        <w:t>Practitioner code scan report (if available)</w:t>
      </w:r>
    </w:p>
    <w:p>
      <w:pPr>
        <w:pStyle w:val="ListBullet"/>
      </w:pPr>
      <w:r>
        <w:t>Agent scan output (domain_findings.json, signals_by_pillar.json, chase_list.json)</w:t>
      </w:r>
    </w:p>
    <w:p>
      <w:pPr>
        <w:pStyle w:val="ListBullet"/>
      </w:pPr>
      <w:r>
        <w:t>VDR document manifest (to assess scan completeness)</w:t>
      </w:r>
    </w:p>
    <w:p>
      <w:pPr>
        <w:pStyle w:val="Heading2"/>
      </w:pPr>
      <w:r>
        <w:t>11.3 Six Calibration Dimensions</w:t>
      </w:r>
    </w:p>
    <w:p>
      <w:r>
        <w:rPr>
          <w:b/>
        </w:rPr>
        <w:t xml:space="preserve">Coverage Match: </w:t>
      </w:r>
      <w:r>
        <w:t>Did the agent find the same topics? Measured as % of practitioner findings that agent also identified (full or partial).</w:t>
      </w:r>
    </w:p>
    <w:p>
      <w:r>
        <w:rPr>
          <w:b/>
        </w:rPr>
        <w:t xml:space="preserve">Severity Calibration: </w:t>
      </w:r>
      <w:r>
        <w:t>Where both found the same risk, did severity ratings align? Track over/under-rating patterns.</w:t>
      </w:r>
    </w:p>
    <w:p>
      <w:r>
        <w:rPr>
          <w:b/>
        </w:rPr>
        <w:t xml:space="preserve">Missed Findings (Agent Gaps): </w:t>
      </w:r>
      <w:r>
        <w:t>What did practitioners find that agents missed? Classify each gap as: Structural, Prompt, Scan Coverage, Pillar Gap, or Feature.</w:t>
      </w:r>
    </w:p>
    <w:p>
      <w:r>
        <w:rPr>
          <w:b/>
        </w:rPr>
        <w:t xml:space="preserve">False Positives / Noise: </w:t>
      </w:r>
      <w:r>
        <w:t>What did agents find that practitioners did not? Classify each as: Genuine Value, Marginal, or Noise.</w:t>
      </w:r>
    </w:p>
    <w:p>
      <w:r>
        <w:rPr>
          <w:b/>
        </w:rPr>
        <w:t xml:space="preserve">Source Attribution: </w:t>
      </w:r>
      <w:r>
        <w:t>What evidence types drove each finding? Track the asymmetry between interview-based and document-based insights.</w:t>
      </w:r>
    </w:p>
    <w:p>
      <w:r>
        <w:rPr>
          <w:b/>
        </w:rPr>
        <w:t xml:space="preserve">Structural Learnings: </w:t>
      </w:r>
      <w:r>
        <w:t>What systemic improvements does this calibration suggest? Feed into improvement backlog.</w:t>
      </w:r>
    </w:p>
    <w:p>
      <w:pPr>
        <w:pStyle w:val="Heading2"/>
      </w:pPr>
      <w:r>
        <w:t>11.4 Scoring Rubric</w:t>
      </w:r>
    </w:p>
    <w:tbl>
      <w:tblPr>
        <w:tblStyle w:val="TableGrid"/>
        <w:tblW w:type="auto" w:w="0"/>
        <w:tblLook w:firstColumn="1" w:firstRow="1" w:lastColumn="0" w:lastRow="0" w:noHBand="0" w:noVBand="1" w:val="04A0"/>
      </w:tblPr>
      <w:tblGrid>
        <w:gridCol w:w="3135"/>
        <w:gridCol w:w="3135"/>
        <w:gridCol w:w="3135"/>
      </w:tblGrid>
      <w:tr>
        <w:tc>
          <w:tcPr>
            <w:tcW w:type="dxa" w:w="3135"/>
            <w:shd w:fill="1E293B"/>
          </w:tcPr>
          <w:p>
            <w:r>
              <w:rPr>
                <w:b/>
                <w:color w:val="FFFFFF"/>
                <w:sz w:val="18"/>
              </w:rPr>
              <w:t>Score</w:t>
            </w:r>
          </w:p>
        </w:tc>
        <w:tc>
          <w:tcPr>
            <w:tcW w:type="dxa" w:w="3135"/>
            <w:shd w:fill="1E293B"/>
          </w:tcPr>
          <w:p>
            <w:r>
              <w:rPr>
                <w:b/>
                <w:color w:val="FFFFFF"/>
                <w:sz w:val="18"/>
              </w:rPr>
              <w:t>Grade</w:t>
            </w:r>
          </w:p>
        </w:tc>
        <w:tc>
          <w:tcPr>
            <w:tcW w:type="dxa" w:w="3135"/>
            <w:shd w:fill="1E293B"/>
          </w:tcPr>
          <w:p>
            <w:r>
              <w:rPr>
                <w:b/>
                <w:color w:val="FFFFFF"/>
                <w:sz w:val="18"/>
              </w:rPr>
              <w:t>Meaning</w:t>
            </w:r>
          </w:p>
        </w:tc>
      </w:tr>
      <w:tr>
        <w:tc>
          <w:tcPr>
            <w:tcW w:type="dxa" w:w="3135"/>
          </w:tcPr>
          <w:p>
            <w:r>
              <w:t>5.0</w:t>
            </w:r>
          </w:p>
        </w:tc>
        <w:tc>
          <w:tcPr>
            <w:tcW w:type="dxa" w:w="3135"/>
          </w:tcPr>
          <w:p>
            <w:r>
              <w:t>A+</w:t>
            </w:r>
          </w:p>
        </w:tc>
        <w:tc>
          <w:tcPr>
            <w:tcW w:type="dxa" w:w="3135"/>
          </w:tcPr>
          <w:p>
            <w:r>
              <w:t>Practitioner parity — agent could replace first-pass practitioner analysis</w:t>
            </w:r>
          </w:p>
        </w:tc>
      </w:tr>
      <w:tr>
        <w:tc>
          <w:tcPr>
            <w:tcW w:type="dxa" w:w="3135"/>
          </w:tcPr>
          <w:p>
            <w:r>
              <w:t>4.0-4.9</w:t>
            </w:r>
          </w:p>
        </w:tc>
        <w:tc>
          <w:tcPr>
            <w:tcW w:type="dxa" w:w="3135"/>
          </w:tcPr>
          <w:p>
            <w:r>
              <w:t>A/A-</w:t>
            </w:r>
          </w:p>
        </w:tc>
        <w:tc>
          <w:tcPr>
            <w:tcW w:type="dxa" w:w="3135"/>
          </w:tcPr>
          <w:p>
            <w:r>
              <w:t>Strong complement — agent catches 80%+ with low noise, minor gaps</w:t>
            </w:r>
          </w:p>
        </w:tc>
      </w:tr>
      <w:tr>
        <w:tc>
          <w:tcPr>
            <w:tcW w:type="dxa" w:w="3135"/>
          </w:tcPr>
          <w:p>
            <w:r>
              <w:t>3.0-3.9</w:t>
            </w:r>
          </w:p>
        </w:tc>
        <w:tc>
          <w:tcPr>
            <w:tcW w:type="dxa" w:w="3135"/>
          </w:tcPr>
          <w:p>
            <w:r>
              <w:t>B+/B/B-</w:t>
            </w:r>
          </w:p>
        </w:tc>
        <w:tc>
          <w:tcPr>
            <w:tcW w:type="dxa" w:w="3135"/>
          </w:tcPr>
          <w:p>
            <w:r>
              <w:t>Useful triage — agent identifies major themes but misses depth/domains</w:t>
            </w:r>
          </w:p>
        </w:tc>
      </w:tr>
      <w:tr>
        <w:tc>
          <w:tcPr>
            <w:tcW w:type="dxa" w:w="3135"/>
          </w:tcPr>
          <w:p>
            <w:r>
              <w:t>2.0-2.9</w:t>
            </w:r>
          </w:p>
        </w:tc>
        <w:tc>
          <w:tcPr>
            <w:tcW w:type="dxa" w:w="3135"/>
          </w:tcPr>
          <w:p>
            <w:r>
              <w:t>C+/C/C-</w:t>
            </w:r>
          </w:p>
        </w:tc>
        <w:tc>
          <w:tcPr>
            <w:tcW w:type="dxa" w:w="3135"/>
          </w:tcPr>
          <w:p>
            <w:r>
              <w:t>Partial coverage — significant gaps require practitioner rework</w:t>
            </w:r>
          </w:p>
        </w:tc>
      </w:tr>
      <w:tr>
        <w:tc>
          <w:tcPr>
            <w:tcW w:type="dxa" w:w="3135"/>
          </w:tcPr>
          <w:p>
            <w:r>
              <w:t>1.0-1.9</w:t>
            </w:r>
          </w:p>
        </w:tc>
        <w:tc>
          <w:tcPr>
            <w:tcW w:type="dxa" w:w="3135"/>
          </w:tcPr>
          <w:p>
            <w:r>
              <w:t>D/F</w:t>
            </w:r>
          </w:p>
        </w:tc>
        <w:tc>
          <w:tcPr>
            <w:tcW w:type="dxa" w:w="3135"/>
          </w:tcPr>
          <w:p>
            <w:r>
              <w:t>Unreliable — agent misses critical risks or generates excessive noise</w:t>
            </w:r>
          </w:p>
        </w:tc>
      </w:tr>
    </w:tbl>
    <w:p>
      <w:pPr>
        <w:pStyle w:val="Heading2"/>
      </w:pPr>
      <w:r>
        <w:t>11.5 Improvement Tracking</w:t>
      </w:r>
    </w:p>
    <w:p>
      <w:r>
        <w:t>Each calibration run should produce: (1) an updated scorecard, (2) a delta from the previous calibration showing improvement or regression per dimension, and (3) a prioritized list of improvement actions. Over time, the calibration history becomes a learning curve that demonstrates the platform's increasing accuracy.</w:t>
      </w:r>
    </w:p>
    <w:p>
      <w:r>
        <w:br w:type="page"/>
      </w:r>
    </w:p>
    <w:p>
      <w:pPr>
        <w:pStyle w:val="Heading1"/>
      </w:pPr>
      <w:r>
        <w:t>12. Recommendations for Step 2 — Calibration Engine</w:t>
      </w:r>
    </w:p>
    <w:p>
      <w:r>
        <w:t>Step 2 will build this calibration framework into the VDR Intelligence Platform as a permanent feature. Based on this analysis, here are the recommended design decisions:</w:t>
      </w:r>
    </w:p>
    <w:p>
      <w:r>
        <w:rPr>
          <w:b/>
        </w:rPr>
        <w:t xml:space="preserve">Calibration Agent: </w:t>
      </w:r>
      <w:r>
        <w:t>A new agent (9th in the system) that accepts practitioner report + agent output and produces a calibration scorecard automatically.</w:t>
      </w:r>
    </w:p>
    <w:p>
      <w:r>
        <w:rPr>
          <w:b/>
        </w:rPr>
        <w:t xml:space="preserve">Code Scan Ingestion: </w:t>
      </w:r>
      <w:r>
        <w:t>A new input type that accepts CAST/Snyk/SonarQube scan exports and feeds them into the codebase assessment pipeline.</w:t>
      </w:r>
    </w:p>
    <w:p>
      <w:r>
        <w:rPr>
          <w:b/>
        </w:rPr>
        <w:t xml:space="preserve">Calibration Dashboard Page: </w:t>
      </w:r>
      <w:r>
        <w:t>A new page in the Streamlit dashboard showing calibration history, score trends, and gap analysis per deal.</w:t>
      </w:r>
    </w:p>
    <w:p>
      <w:r>
        <w:rPr>
          <w:b/>
        </w:rPr>
        <w:t xml:space="preserve">Improvement Backlog Integration: </w:t>
      </w:r>
      <w:r>
        <w:t>Each calibration run generates improvement tickets that feed into the platform development roadmap.</w:t>
      </w:r>
    </w:p>
    <w:p>
      <w:r>
        <w:rPr>
          <w:b/>
        </w:rPr>
        <w:t xml:space="preserve">Benchmark Database: </w:t>
      </w:r>
      <w:r>
        <w:t>Over time, accumulate calibration data across deals to establish baseline accuracy metrics and identify systemic patterns.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29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