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TECHNOLOGY DUE DILIGENCE</w:t>
      </w:r>
    </w:p>
    <w:p>
      <w:pPr>
        <w:jc w:val="center"/>
      </w:pPr>
      <w:r>
        <w:rPr>
          <w:color w:val="64748B"/>
          <w:sz w:val="28"/>
        </w:rPr>
        <w:t>VDR Scan Report</w:t>
      </w:r>
    </w:p>
    <w:p>
      <w:pPr>
        <w:jc w:val="center"/>
      </w:pPr>
      <w:r>
        <w:rPr>
          <w:color w:val="475569"/>
          <w:sz w:val="22"/>
        </w:rPr>
        <w:t>Project Jewel  ·  Healthcare SaaS</w:t>
      </w:r>
    </w:p>
    <w:p>
      <w:pPr>
        <w:jc w:val="center"/>
      </w:pPr>
      <w:r>
        <w:rPr>
          <w:color w:val="94A3B8"/>
          <w:sz w:val="20"/>
        </w:rPr>
        <w:t>Scan Date: 2026-04-08</w:t>
      </w:r>
    </w:p>
    <w:p>
      <w:r>
        <w:br w:type="page"/>
      </w:r>
    </w:p>
    <w:p>
      <w:pPr>
        <w:pStyle w:val="Heading1"/>
      </w:pPr>
      <w:r>
        <w:t>Executive Summary</w:t>
      </w:r>
    </w:p>
    <w:p>
      <w:r>
        <w:t>Acme Health Tech presents a mixed technology profile typical of a Series B healthcare SaaS company. The platform demonstrates strong R&amp;D investment (45% of revenue) and solid product-market fit with 94% gross retention, but carries material risks in security compliance (no SOC2), infrastructure resilience (single-region, no DR plan), and organizational structure (40% contractor dependency concentrated in backend engineering). The monolithic architecture will require modernization investment of $800K-$1.2M over 12-18 months to support enterprise scale. Three compound risks warrant immediate attention: the intersection of SOC2 absence with healthcare data handling, contractor concentration in mission-critical backend services, and single-customer revenue dependency on a legacy platform.</w:t>
      </w:r>
    </w:p>
    <w:p>
      <w:pPr>
        <w:pStyle w:val="Heading2"/>
      </w:pPr>
      <w:r>
        <w:t>Pillar Grades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Pillar</w:t>
            </w:r>
          </w:p>
        </w:tc>
        <w:tc>
          <w:tcPr>
            <w:tcW w:type="dxa" w:w="2160"/>
          </w:tcPr>
          <w:p>
            <w:r>
              <w:rPr>
                <w:b/>
              </w:rPr>
              <w:t>Signals</w:t>
            </w:r>
          </w:p>
        </w:tc>
        <w:tc>
          <w:tcPr>
            <w:tcW w:type="dxa" w:w="2160"/>
          </w:tcPr>
          <w:p>
            <w:r>
              <w:rPr>
                <w:b/>
              </w:rPr>
              <w:t>RED</w:t>
            </w:r>
          </w:p>
        </w:tc>
        <w:tc>
          <w:tcPr>
            <w:tcW w:type="dxa" w:w="2160"/>
          </w:tcPr>
          <w:p>
            <w:r>
              <w:rPr>
                <w:b/>
              </w:rPr>
              <w:t>YELLOW</w:t>
            </w:r>
          </w:p>
        </w:tc>
      </w:tr>
      <w:tr>
        <w:tc>
          <w:tcPr>
            <w:tcW w:type="dxa" w:w="2160"/>
          </w:tcPr>
          <w:p>
            <w:r>
              <w:t>Technology &amp; Architecture</w:t>
            </w:r>
          </w:p>
        </w:tc>
        <w:tc>
          <w:tcPr>
            <w:tcW w:type="dxa" w:w="2160"/>
          </w:tcPr>
          <w:p>
            <w:r>
              <w:t>4</w:t>
            </w:r>
          </w:p>
        </w:tc>
        <w:tc>
          <w:tcPr>
            <w:tcW w:type="dxa" w:w="2160"/>
          </w:tcPr>
          <w:p>
            <w:r>
              <w:t>1</w:t>
            </w:r>
          </w:p>
        </w:tc>
        <w:tc>
          <w:tcPr>
            <w:tcW w:type="dxa" w:w="2160"/>
          </w:tcPr>
          <w:p>
            <w:r>
              <w:t>2</w:t>
            </w:r>
          </w:p>
        </w:tc>
      </w:tr>
      <w:tr>
        <w:tc>
          <w:tcPr>
            <w:tcW w:type="dxa" w:w="2160"/>
          </w:tcPr>
          <w:p>
            <w:r>
              <w:t>Security &amp; Compliance</w:t>
            </w:r>
          </w:p>
        </w:tc>
        <w:tc>
          <w:tcPr>
            <w:tcW w:type="dxa" w:w="2160"/>
          </w:tcPr>
          <w:p>
            <w:r>
              <w:t>4</w:t>
            </w:r>
          </w:p>
        </w:tc>
        <w:tc>
          <w:tcPr>
            <w:tcW w:type="dxa" w:w="2160"/>
          </w:tcPr>
          <w:p>
            <w:r>
              <w:t>2</w:t>
            </w:r>
          </w:p>
        </w:tc>
        <w:tc>
          <w:tcPr>
            <w:tcW w:type="dxa" w:w="2160"/>
          </w:tcPr>
          <w:p>
            <w:r>
              <w:t>2</w:t>
            </w:r>
          </w:p>
        </w:tc>
      </w:tr>
      <w:tr>
        <w:tc>
          <w:tcPr>
            <w:tcW w:type="dxa" w:w="2160"/>
          </w:tcPr>
          <w:p>
            <w:r>
              <w:t>Organization &amp; Talent</w:t>
            </w:r>
          </w:p>
        </w:tc>
        <w:tc>
          <w:tcPr>
            <w:tcW w:type="dxa" w:w="2160"/>
          </w:tcPr>
          <w:p>
            <w:r>
              <w:t>4</w:t>
            </w:r>
          </w:p>
        </w:tc>
        <w:tc>
          <w:tcPr>
            <w:tcW w:type="dxa" w:w="2160"/>
          </w:tcPr>
          <w:p>
            <w:r>
              <w:t>0</w:t>
            </w:r>
          </w:p>
        </w:tc>
        <w:tc>
          <w:tcPr>
            <w:tcW w:type="dxa" w:w="2160"/>
          </w:tcPr>
          <w:p>
            <w:r>
              <w:t>3</w:t>
            </w:r>
          </w:p>
        </w:tc>
      </w:tr>
      <w:tr>
        <w:tc>
          <w:tcPr>
            <w:tcW w:type="dxa" w:w="2160"/>
          </w:tcPr>
          <w:p>
            <w:r>
              <w:t>R&amp;D Spend Assessment</w:t>
            </w:r>
          </w:p>
        </w:tc>
        <w:tc>
          <w:tcPr>
            <w:tcW w:type="dxa" w:w="2160"/>
          </w:tcPr>
          <w:p>
            <w:r>
              <w:t>3</w:t>
            </w:r>
          </w:p>
        </w:tc>
        <w:tc>
          <w:tcPr>
            <w:tcW w:type="dxa" w:w="2160"/>
          </w:tcPr>
          <w:p>
            <w:r>
              <w:t>0</w:t>
            </w:r>
          </w:p>
        </w:tc>
        <w:tc>
          <w:tcPr>
            <w:tcW w:type="dxa" w:w="2160"/>
          </w:tcPr>
          <w:p>
            <w:r>
              <w:t>1</w:t>
            </w:r>
          </w:p>
        </w:tc>
      </w:tr>
      <w:tr>
        <w:tc>
          <w:tcPr>
            <w:tcW w:type="dxa" w:w="2160"/>
          </w:tcPr>
          <w:p>
            <w:r>
              <w:t>Infrastructure &amp; Deployment</w:t>
            </w:r>
          </w:p>
        </w:tc>
        <w:tc>
          <w:tcPr>
            <w:tcW w:type="dxa" w:w="2160"/>
          </w:tcPr>
          <w:p>
            <w:r>
              <w:t>3</w:t>
            </w:r>
          </w:p>
        </w:tc>
        <w:tc>
          <w:tcPr>
            <w:tcW w:type="dxa" w:w="2160"/>
          </w:tcPr>
          <w:p>
            <w:r>
              <w:t>1</w:t>
            </w:r>
          </w:p>
        </w:tc>
        <w:tc>
          <w:tcPr>
            <w:tcW w:type="dxa" w:w="2160"/>
          </w:tcPr>
          <w:p>
            <w:r>
              <w:t>2</w:t>
            </w:r>
          </w:p>
        </w:tc>
      </w:tr>
      <w:tr>
        <w:tc>
          <w:tcPr>
            <w:tcW w:type="dxa" w:w="2160"/>
          </w:tcPr>
          <w:p>
            <w:r>
              <w:t>SDLC &amp; Product Management</w:t>
            </w:r>
          </w:p>
        </w:tc>
        <w:tc>
          <w:tcPr>
            <w:tcW w:type="dxa" w:w="2160"/>
          </w:tcPr>
          <w:p>
            <w:r>
              <w:t>1</w:t>
            </w:r>
          </w:p>
        </w:tc>
        <w:tc>
          <w:tcPr>
            <w:tcW w:type="dxa" w:w="2160"/>
          </w:tcPr>
          <w:p>
            <w:r>
              <w:t>0</w:t>
            </w:r>
          </w:p>
        </w:tc>
        <w:tc>
          <w:tcPr>
            <w:tcW w:type="dxa" w:w="2160"/>
          </w:tcPr>
          <w:p>
            <w:r>
              <w:t>1</w:t>
            </w:r>
          </w:p>
        </w:tc>
      </w:tr>
      <w:tr>
        <w:tc>
          <w:tcPr>
            <w:tcW w:type="dxa" w:w="2160"/>
          </w:tcPr>
          <w:p>
            <w:r>
              <w:t>Data &amp; AI Readiness</w:t>
            </w:r>
          </w:p>
        </w:tc>
        <w:tc>
          <w:tcPr>
            <w:tcW w:type="dxa" w:w="2160"/>
          </w:tcPr>
          <w:p>
            <w:r>
              <w:t>1</w:t>
            </w:r>
          </w:p>
        </w:tc>
        <w:tc>
          <w:tcPr>
            <w:tcW w:type="dxa" w:w="2160"/>
          </w:tcPr>
          <w:p>
            <w:r>
              <w:t>0</w:t>
            </w:r>
          </w:p>
        </w:tc>
        <w:tc>
          <w:tcPr>
            <w:tcW w:type="dxa" w:w="2160"/>
          </w:tcPr>
          <w:p>
            <w:r>
              <w:t>0</w:t>
            </w:r>
          </w:p>
        </w:tc>
      </w:tr>
    </w:tbl>
    <w:p>
      <w:pPr>
        <w:pStyle w:val="Heading1"/>
      </w:pPr>
      <w:r>
        <w:t>Compound Risks</w:t>
      </w:r>
    </w:p>
    <w:p>
      <w:r>
        <w:t>These risks span multiple pillars or documents and are more serious than any individual signal because they compound across independent sources.</w:t>
      </w:r>
    </w:p>
    <w:p>
      <w:r>
        <w:rPr>
          <w:b/>
          <w:color w:val="DC2626"/>
        </w:rPr>
        <w:t xml:space="preserve">[CRITICAL] </w:t>
      </w:r>
      <w:r>
        <w:rPr>
          <w:b/>
          <w:sz w:val="22"/>
        </w:rPr>
        <w:t>SOC2 Absence + Healthcare PHI Handling = Regulatory Exposure</w:t>
      </w:r>
    </w:p>
    <w:p>
      <w:r>
        <w:t>The company handles protected health information (PHI) for 12 healthcare customers but has no SOC2 Type II certification and no evidence of a formal security audit in the past 24 months. The compliance matrix explicitly marks SOC2 as 'not started.' Combined with the PHI data breach incident detected in Q3 2025 (contained but reported to HHS), this creates significant regulatory and reputational exposure. Remediation timeline: 6-9 months for SOC2 + estimated $250K in audit and tooling costs.</w:t>
      </w:r>
    </w:p>
    <w:p>
      <w:r>
        <w:rPr>
          <w:b/>
          <w:sz w:val="18"/>
        </w:rPr>
        <w:t xml:space="preserve">Contributing signals: </w:t>
      </w:r>
      <w:r>
        <w:rPr>
          <w:sz w:val="18"/>
        </w:rPr>
        <w:t>SIG-005, SIG-006, SIG-012</w:t>
      </w:r>
    </w:p>
    <w:p/>
    <w:p>
      <w:r>
        <w:rPr>
          <w:b/>
          <w:color w:val="EA580C"/>
        </w:rPr>
        <w:t xml:space="preserve">[HIGH] </w:t>
      </w:r>
      <w:r>
        <w:rPr>
          <w:b/>
          <w:sz w:val="22"/>
        </w:rPr>
        <w:t>Contractor Concentration in Backend + Key Person Risk</w:t>
      </w:r>
    </w:p>
    <w:p>
      <w:r>
        <w:t>12 of 30 engineers are contractors, with 8 concentrated in backend services that handle core data processing and API layer. The CTO has direct reports spanning 7 functions with no VP of Engineering layer. If 2-3 key contractors leave post-acquisition (common in PE transitions), the backend team loses institutional knowledge with no documented runbooks or architecture decision records. Conversion cost estimated at 15-20% salary uplift ($180K-$240K annually).</w:t>
      </w:r>
    </w:p>
    <w:p>
      <w:r>
        <w:rPr>
          <w:b/>
          <w:sz w:val="18"/>
        </w:rPr>
        <w:t xml:space="preserve">Contributing signals: </w:t>
      </w:r>
      <w:r>
        <w:rPr>
          <w:sz w:val="18"/>
        </w:rPr>
        <w:t>SIG-008, SIG-009, SIG-015</w:t>
      </w:r>
    </w:p>
    <w:p/>
    <w:p>
      <w:r>
        <w:rPr>
          <w:b/>
          <w:color w:val="EA580C"/>
        </w:rPr>
        <w:t xml:space="preserve">[HIGH] </w:t>
      </w:r>
      <w:r>
        <w:rPr>
          <w:b/>
          <w:sz w:val="22"/>
        </w:rPr>
        <w:t>Single Customer Revenue Concentration on Legacy Platform</w:t>
      </w:r>
    </w:p>
    <w:p>
      <w:r>
        <w:t>Largest customer (Memorial Health, 22% of CARR) is deployed on the legacy v1.x platform that the company plans to sunset in Q2 2027. Migration to v2.0 has not been scoped. Combined with the monolithic architecture's scaling limitations, there is a compounding risk: platform migration failure could trigger churn of the company's largest revenue source. This customer also has the most complex integration footprint (7 API endpoints, custom SSO).</w:t>
      </w:r>
    </w:p>
    <w:p>
      <w:r>
        <w:rPr>
          <w:b/>
          <w:sz w:val="18"/>
        </w:rPr>
        <w:t xml:space="preserve">Contributing signals: </w:t>
      </w:r>
      <w:r>
        <w:rPr>
          <w:sz w:val="18"/>
        </w:rPr>
        <w:t>SIG-018, SIG-019, SIG-003</w:t>
      </w:r>
    </w:p>
    <w:p/>
    <w:p>
      <w:pPr>
        <w:pStyle w:val="Heading1"/>
      </w:pPr>
      <w:r>
        <w:t>Contradictions &amp; Conflicts</w:t>
      </w:r>
    </w:p>
    <w:p>
      <w:r>
        <w:t>The following conflicts were identified where one document claims something that another document contradicts. These require clarification from the target during diligence.</w:t>
      </w:r>
    </w:p>
    <w:p>
      <w:r>
        <w:rPr>
          <w:b/>
        </w:rPr>
        <w:t xml:space="preserve">1. </w:t>
      </w:r>
      <w:r>
        <w:t>The sales deck (slide 14) states 'SOC2 Type II compliant' but the compliance matrix marks SOC2 as 'not started'. The security overview document references 'SOC2 readiness assessment completed Q4 2025' without clarifying whether certification was achieved.</w:t>
      </w:r>
    </w:p>
    <w:p>
      <w:r>
        <w:rPr>
          <w:b/>
          <w:sz w:val="18"/>
        </w:rPr>
        <w:t xml:space="preserve">Sources: </w:t>
      </w:r>
      <w:r>
        <w:rPr>
          <w:sz w:val="18"/>
        </w:rPr>
        <w:t>sales_deck_2026.pptx, compliance_matrix.xlsx, security_overview.pdf</w:t>
      </w:r>
    </w:p>
    <w:p/>
    <w:p>
      <w:r>
        <w:rPr>
          <w:b/>
        </w:rPr>
        <w:t xml:space="preserve">2. </w:t>
      </w:r>
      <w:r>
        <w:t>The org chart shows 30 engineering headcount (18 FTE + 12 contractors) but the HR summary reports 34 total engineering staff. The financial model uses 28 engineering FTEs for cost projections.</w:t>
      </w:r>
    </w:p>
    <w:p>
      <w:r>
        <w:rPr>
          <w:b/>
          <w:sz w:val="18"/>
        </w:rPr>
        <w:t xml:space="preserve">Sources: </w:t>
      </w:r>
      <w:r>
        <w:rPr>
          <w:sz w:val="18"/>
        </w:rPr>
        <w:t>org_chart.pptx, hr_summary.docx, financial_model.xlsx</w:t>
      </w:r>
    </w:p>
    <w:p/>
    <w:p>
      <w:pPr>
        <w:pStyle w:val="Heading1"/>
      </w:pPr>
      <w:r>
        <w:t>VDR Completeness Assessment</w:t>
      </w:r>
    </w:p>
    <w:p>
      <w:r>
        <w:t>Analysis of document coverage against the standard PE technology due diligence data room checklist.</w:t>
      </w:r>
    </w:p>
    <w:p>
      <w:pPr>
        <w:pStyle w:val="Heading2"/>
      </w:pPr>
      <w:r>
        <w:t>VDR Completeness Assessment</w:t>
      </w:r>
    </w:p>
    <w:p>
      <w:pPr>
        <w:pStyle w:val="Heading3"/>
      </w:pPr>
      <w:r>
        <w:t>Coverage Summary</w:t>
      </w:r>
    </w:p>
    <w:p>
      <w:r>
        <w:t>11 of 15 expected document categories are represented in the data room.</w:t>
      </w:r>
    </w:p>
    <w:p>
      <w:pPr>
        <w:pStyle w:val="Heading3"/>
      </w:pPr>
      <w:r>
        <w:t>Documents Present</w:t>
      </w:r>
    </w:p>
    <w:p>
      <w:pPr>
        <w:pStyle w:val="ListBullet"/>
      </w:pPr>
      <w:r>
        <w:t>Architecture &amp; System Design: architecture_overview.pdf</w:t>
      </w:r>
    </w:p>
    <w:p>
      <w:pPr>
        <w:pStyle w:val="ListBullet"/>
      </w:pPr>
      <w:r>
        <w:t>Security &amp; Compliance: compliance_matrix.xlsx, security_overview.pdf, incident_log.csv</w:t>
      </w:r>
    </w:p>
    <w:p>
      <w:pPr>
        <w:pStyle w:val="ListBullet"/>
      </w:pPr>
      <w:r>
        <w:t>Organization &amp; HR: org_chart.pptx, hr_summary.docx</w:t>
      </w:r>
    </w:p>
    <w:p>
      <w:pPr>
        <w:pStyle w:val="ListBullet"/>
      </w:pPr>
      <w:r>
        <w:t>Financial: financial_model.xlsx</w:t>
      </w:r>
    </w:p>
    <w:p>
      <w:pPr>
        <w:pStyle w:val="ListBullet"/>
      </w:pPr>
      <w:r>
        <w:t>Infrastructure: infra_topology.pdf</w:t>
      </w:r>
    </w:p>
    <w:p>
      <w:pPr>
        <w:pStyle w:val="ListBullet"/>
      </w:pPr>
      <w:r>
        <w:t>Product: product_roadmap.docx</w:t>
      </w:r>
    </w:p>
    <w:p>
      <w:pPr>
        <w:pStyle w:val="ListBullet"/>
      </w:pPr>
      <w:r>
        <w:t>Commercial: sales_deck_2026.pptx, customer_contracts.pdf</w:t>
      </w:r>
    </w:p>
    <w:p>
      <w:pPr>
        <w:pStyle w:val="Heading3"/>
      </w:pPr>
      <w:r>
        <w:t>Critical Gaps</w:t>
      </w:r>
    </w:p>
    <w:p>
      <w:pPr>
        <w:pStyle w:val="ListBullet"/>
      </w:pPr>
      <w:r>
        <w:t>Disaster Recovery Plan: No DR documentation found. This is a critical gap for a healthcare SaaS company.</w:t>
      </w:r>
    </w:p>
    <w:p>
      <w:pPr>
        <w:pStyle w:val="ListBullet"/>
      </w:pPr>
      <w:r>
        <w:t>Data Processing Agreements: No DPAs found despite handling PHI for 12 healthcare customers.</w:t>
      </w:r>
    </w:p>
    <w:p>
      <w:pPr>
        <w:pStyle w:val="ListBullet"/>
      </w:pPr>
      <w:r>
        <w:t>Third-Party Vendor Assessments: No vendor security assessments or audit reports.</w:t>
      </w:r>
    </w:p>
    <w:p>
      <w:pPr>
        <w:pStyle w:val="ListBullet"/>
      </w:pPr>
      <w:r>
        <w:t>Business Continuity Plan: No BCP documentation found.</w:t>
      </w:r>
    </w:p>
    <w:p>
      <w:pPr>
        <w:pStyle w:val="Heading3"/>
      </w:pPr>
      <w:r>
        <w:t>Recommended Chase Items</w:t>
      </w:r>
    </w:p>
    <w:p>
      <w:pPr>
        <w:pStyle w:val="ListBullet"/>
      </w:pPr>
      <w:r>
        <w:t>Request formal DR/BCP documentation or confirmation that none exists</w:t>
      </w:r>
    </w:p>
    <w:p>
      <w:pPr>
        <w:pStyle w:val="ListBullet"/>
      </w:pPr>
      <w:r>
        <w:t>Request DPA templates and list of subprocessors</w:t>
      </w:r>
    </w:p>
    <w:p>
      <w:pPr>
        <w:pStyle w:val="ListBullet"/>
      </w:pPr>
      <w:r>
        <w:t>Request vendor assessment reports for top 5 technology vendors</w:t>
      </w:r>
    </w:p>
    <w:p>
      <w:pPr>
        <w:pStyle w:val="ListBullet"/>
      </w:pPr>
      <w:r>
        <w:t>Request engineering team competency matrix and succession plan</w:t>
      </w:r>
    </w:p>
    <w:p>
      <w:pPr>
        <w:pStyle w:val="Heading1"/>
      </w:pPr>
      <w:r>
        <w:t>Prioritized Reading List</w:t>
      </w:r>
    </w:p>
    <w:p>
      <w:r>
        <w:t>Documents ranked by signal density, severity, and relevance. A practitioner should read these in order for the fastest path to deal clarity.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Document</w:t>
            </w:r>
          </w:p>
        </w:tc>
        <w:tc>
          <w:tcPr>
            <w:tcW w:type="dxa" w:w="1728"/>
          </w:tcPr>
          <w:p>
            <w:r>
              <w:rPr>
                <w:b/>
              </w:rPr>
              <w:t>Section</w:t>
            </w:r>
          </w:p>
        </w:tc>
        <w:tc>
          <w:tcPr>
            <w:tcW w:type="dxa" w:w="1728"/>
          </w:tcPr>
          <w:p>
            <w:r>
              <w:rPr>
                <w:b/>
              </w:rPr>
              <w:t>Reason</w:t>
            </w:r>
          </w:p>
        </w:tc>
        <w:tc>
          <w:tcPr>
            <w:tcW w:type="dxa" w:w="1728"/>
          </w:tcPr>
          <w:p>
            <w:r>
              <w:rPr>
                <w:b/>
              </w:rPr>
              <w:t>Est. Time</w:t>
            </w:r>
          </w:p>
        </w:tc>
      </w:tr>
      <w:tr>
        <w:tc>
          <w:tcPr>
            <w:tcW w:type="dxa" w:w="1728"/>
          </w:tcPr>
          <w:p>
            <w:r>
              <w:t>1</w:t>
            </w:r>
          </w:p>
        </w:tc>
        <w:tc>
          <w:tcPr>
            <w:tcW w:type="dxa" w:w="1728"/>
          </w:tcPr>
          <w:p>
            <w:r>
              <w:t>compliance_matrix.xlsx</w:t>
            </w:r>
          </w:p>
        </w:tc>
        <w:tc>
          <w:tcPr>
            <w:tcW w:type="dxa" w:w="1728"/>
          </w:tcPr>
          <w:p>
            <w:r>
              <w:t>Security</w:t>
            </w:r>
          </w:p>
        </w:tc>
        <w:tc>
          <w:tcPr>
            <w:tcW w:type="dxa" w:w="1728"/>
          </w:tcPr>
          <w:p>
            <w:r>
              <w:t>Highest signal density (4 signals, 2 RED) — SOC2 gap and PHI handling</w:t>
            </w:r>
          </w:p>
        </w:tc>
        <w:tc>
          <w:tcPr>
            <w:tcW w:type="dxa" w:w="1728"/>
          </w:tcPr>
          <w:p>
            <w:r>
              <w:t>15 min</w:t>
            </w:r>
          </w:p>
        </w:tc>
      </w:tr>
      <w:tr>
        <w:tc>
          <w:tcPr>
            <w:tcW w:type="dxa" w:w="1728"/>
          </w:tcPr>
          <w:p>
            <w:r>
              <w:t>2</w:t>
            </w:r>
          </w:p>
        </w:tc>
        <w:tc>
          <w:tcPr>
            <w:tcW w:type="dxa" w:w="1728"/>
          </w:tcPr>
          <w:p>
            <w:r>
              <w:t>architecture_overview.pdf</w:t>
            </w:r>
          </w:p>
        </w:tc>
        <w:tc>
          <w:tcPr>
            <w:tcW w:type="dxa" w:w="1728"/>
          </w:tcPr>
          <w:p>
            <w:r>
              <w:t>Technology</w:t>
            </w:r>
          </w:p>
        </w:tc>
        <w:tc>
          <w:tcPr>
            <w:tcW w:type="dxa" w:w="1728"/>
          </w:tcPr>
          <w:p>
            <w:r>
              <w:t>Core architecture signals — monolith scaling limits and tech debt</w:t>
            </w:r>
          </w:p>
        </w:tc>
        <w:tc>
          <w:tcPr>
            <w:tcW w:type="dxa" w:w="1728"/>
          </w:tcPr>
          <w:p>
            <w:r>
              <w:t>30 min</w:t>
            </w:r>
          </w:p>
        </w:tc>
      </w:tr>
      <w:tr>
        <w:tc>
          <w:tcPr>
            <w:tcW w:type="dxa" w:w="1728"/>
          </w:tcPr>
          <w:p>
            <w:r>
              <w:t>3</w:t>
            </w:r>
          </w:p>
        </w:tc>
        <w:tc>
          <w:tcPr>
            <w:tcW w:type="dxa" w:w="1728"/>
          </w:tcPr>
          <w:p>
            <w:r>
              <w:t>org_chart.pptx</w:t>
            </w:r>
          </w:p>
        </w:tc>
        <w:tc>
          <w:tcPr>
            <w:tcW w:type="dxa" w:w="1728"/>
          </w:tcPr>
          <w:p>
            <w:r>
              <w:t>Organization</w:t>
            </w:r>
          </w:p>
        </w:tc>
        <w:tc>
          <w:tcPr>
            <w:tcW w:type="dxa" w:w="1728"/>
          </w:tcPr>
          <w:p>
            <w:r>
              <w:t>Contractor dependency and reporting structure fragmentation</w:t>
            </w:r>
          </w:p>
        </w:tc>
        <w:tc>
          <w:tcPr>
            <w:tcW w:type="dxa" w:w="1728"/>
          </w:tcPr>
          <w:p>
            <w:r>
              <w:t>10 min</w:t>
            </w:r>
          </w:p>
        </w:tc>
      </w:tr>
      <w:tr>
        <w:tc>
          <w:tcPr>
            <w:tcW w:type="dxa" w:w="1728"/>
          </w:tcPr>
          <w:p>
            <w:r>
              <w:t>4</w:t>
            </w:r>
          </w:p>
        </w:tc>
        <w:tc>
          <w:tcPr>
            <w:tcW w:type="dxa" w:w="1728"/>
          </w:tcPr>
          <w:p>
            <w:r>
              <w:t>financial_model.xlsx</w:t>
            </w:r>
          </w:p>
        </w:tc>
        <w:tc>
          <w:tcPr>
            <w:tcW w:type="dxa" w:w="1728"/>
          </w:tcPr>
          <w:p>
            <w:r>
              <w:t>Financial</w:t>
            </w:r>
          </w:p>
        </w:tc>
        <w:tc>
          <w:tcPr>
            <w:tcW w:type="dxa" w:w="1728"/>
          </w:tcPr>
          <w:p>
            <w:r>
              <w:t>R&amp;D spend, hosting costs, customer concentration data</w:t>
            </w:r>
          </w:p>
        </w:tc>
        <w:tc>
          <w:tcPr>
            <w:tcW w:type="dxa" w:w="1728"/>
          </w:tcPr>
          <w:p>
            <w:r>
              <w:t>25 min</w:t>
            </w:r>
          </w:p>
        </w:tc>
      </w:tr>
      <w:tr>
        <w:tc>
          <w:tcPr>
            <w:tcW w:type="dxa" w:w="1728"/>
          </w:tcPr>
          <w:p>
            <w:r>
              <w:t>5</w:t>
            </w:r>
          </w:p>
        </w:tc>
        <w:tc>
          <w:tcPr>
            <w:tcW w:type="dxa" w:w="1728"/>
          </w:tcPr>
          <w:p>
            <w:r>
              <w:t>incident_log.csv</w:t>
            </w:r>
          </w:p>
        </w:tc>
        <w:tc>
          <w:tcPr>
            <w:tcW w:type="dxa" w:w="1728"/>
          </w:tcPr>
          <w:p>
            <w:r>
              <w:t>Security</w:t>
            </w:r>
          </w:p>
        </w:tc>
        <w:tc>
          <w:tcPr>
            <w:tcW w:type="dxa" w:w="1728"/>
          </w:tcPr>
          <w:p>
            <w:r>
              <w:t>PHI breach incident details and MTTD metrics</w:t>
            </w:r>
          </w:p>
        </w:tc>
        <w:tc>
          <w:tcPr>
            <w:tcW w:type="dxa" w:w="1728"/>
          </w:tcPr>
          <w:p>
            <w:r>
              <w:t>10 min</w:t>
            </w:r>
          </w:p>
        </w:tc>
      </w:tr>
      <w:tr>
        <w:tc>
          <w:tcPr>
            <w:tcW w:type="dxa" w:w="1728"/>
          </w:tcPr>
          <w:p>
            <w:r>
              <w:t>6</w:t>
            </w:r>
          </w:p>
        </w:tc>
        <w:tc>
          <w:tcPr>
            <w:tcW w:type="dxa" w:w="1728"/>
          </w:tcPr>
          <w:p>
            <w:r>
              <w:t>infra_topology.pdf</w:t>
            </w:r>
          </w:p>
        </w:tc>
        <w:tc>
          <w:tcPr>
            <w:tcW w:type="dxa" w:w="1728"/>
          </w:tcPr>
          <w:p>
            <w:r>
              <w:t>Infrastructure</w:t>
            </w:r>
          </w:p>
        </w:tc>
        <w:tc>
          <w:tcPr>
            <w:tcW w:type="dxa" w:w="1728"/>
          </w:tcPr>
          <w:p>
            <w:r>
              <w:t>Single-region deployment, no DR documentation</w:t>
            </w:r>
          </w:p>
        </w:tc>
        <w:tc>
          <w:tcPr>
            <w:tcW w:type="dxa" w:w="1728"/>
          </w:tcPr>
          <w:p>
            <w:r>
              <w:t>20 min</w:t>
            </w:r>
          </w:p>
        </w:tc>
      </w:tr>
      <w:tr>
        <w:tc>
          <w:tcPr>
            <w:tcW w:type="dxa" w:w="1728"/>
          </w:tcPr>
          <w:p>
            <w:r>
              <w:t>7</w:t>
            </w:r>
          </w:p>
        </w:tc>
        <w:tc>
          <w:tcPr>
            <w:tcW w:type="dxa" w:w="1728"/>
          </w:tcPr>
          <w:p>
            <w:r>
              <w:t>product_roadmap.docx</w:t>
            </w:r>
          </w:p>
        </w:tc>
        <w:tc>
          <w:tcPr>
            <w:tcW w:type="dxa" w:w="1728"/>
          </w:tcPr>
          <w:p>
            <w:r>
              <w:t>Product</w:t>
            </w:r>
          </w:p>
        </w:tc>
        <w:tc>
          <w:tcPr>
            <w:tcW w:type="dxa" w:w="1728"/>
          </w:tcPr>
          <w:p>
            <w:r>
              <w:t>v2.0 migration timeline and feature velocity</w:t>
            </w:r>
          </w:p>
        </w:tc>
        <w:tc>
          <w:tcPr>
            <w:tcW w:type="dxa" w:w="1728"/>
          </w:tcPr>
          <w:p>
            <w:r>
              <w:t>15 min</w:t>
            </w:r>
          </w:p>
        </w:tc>
      </w:tr>
      <w:tr>
        <w:tc>
          <w:tcPr>
            <w:tcW w:type="dxa" w:w="1728"/>
          </w:tcPr>
          <w:p>
            <w:r>
              <w:t>8</w:t>
            </w:r>
          </w:p>
        </w:tc>
        <w:tc>
          <w:tcPr>
            <w:tcW w:type="dxa" w:w="1728"/>
          </w:tcPr>
          <w:p>
            <w:r>
              <w:t>sales_deck_2026.pptx</w:t>
            </w:r>
          </w:p>
        </w:tc>
        <w:tc>
          <w:tcPr>
            <w:tcW w:type="dxa" w:w="1728"/>
          </w:tcPr>
          <w:p>
            <w:r>
              <w:t>Commercial</w:t>
            </w:r>
          </w:p>
        </w:tc>
        <w:tc>
          <w:tcPr>
            <w:tcW w:type="dxa" w:w="1728"/>
          </w:tcPr>
          <w:p>
            <w:r>
              <w:t>Customer list, ARR figures, competitive positioning</w:t>
            </w:r>
          </w:p>
        </w:tc>
        <w:tc>
          <w:tcPr>
            <w:tcW w:type="dxa" w:w="1728"/>
          </w:tcPr>
          <w:p>
            <w:r>
              <w:t>10 min</w:t>
            </w:r>
          </w:p>
        </w:tc>
      </w:tr>
      <w:tr>
        <w:tc>
          <w:tcPr>
            <w:tcW w:type="dxa" w:w="1728"/>
          </w:tcPr>
          <w:p>
            <w:r>
              <w:t>9</w:t>
            </w:r>
          </w:p>
        </w:tc>
        <w:tc>
          <w:tcPr>
            <w:tcW w:type="dxa" w:w="1728"/>
          </w:tcPr>
          <w:p>
            <w:r>
              <w:t>hr_summary.docx</w:t>
            </w:r>
          </w:p>
        </w:tc>
        <w:tc>
          <w:tcPr>
            <w:tcW w:type="dxa" w:w="1728"/>
          </w:tcPr>
          <w:p>
            <w:r>
              <w:t>Organization</w:t>
            </w:r>
          </w:p>
        </w:tc>
        <w:tc>
          <w:tcPr>
            <w:tcW w:type="dxa" w:w="1728"/>
          </w:tcPr>
          <w:p>
            <w:r>
              <w:t>Headcount details, retention metrics, hiring plan</w:t>
            </w:r>
          </w:p>
        </w:tc>
        <w:tc>
          <w:tcPr>
            <w:tcW w:type="dxa" w:w="1728"/>
          </w:tcPr>
          <w:p>
            <w:r>
              <w:t>10 min</w:t>
            </w:r>
          </w:p>
        </w:tc>
      </w:tr>
      <w:tr>
        <w:tc>
          <w:tcPr>
            <w:tcW w:type="dxa" w:w="1728"/>
          </w:tcPr>
          <w:p>
            <w:r>
              <w:t>10</w:t>
            </w:r>
          </w:p>
        </w:tc>
        <w:tc>
          <w:tcPr>
            <w:tcW w:type="dxa" w:w="1728"/>
          </w:tcPr>
          <w:p>
            <w:r>
              <w:t>security_overview.pdf</w:t>
            </w:r>
          </w:p>
        </w:tc>
        <w:tc>
          <w:tcPr>
            <w:tcW w:type="dxa" w:w="1728"/>
          </w:tcPr>
          <w:p>
            <w:r>
              <w:t>Security</w:t>
            </w:r>
          </w:p>
        </w:tc>
        <w:tc>
          <w:tcPr>
            <w:tcW w:type="dxa" w:w="1728"/>
          </w:tcPr>
          <w:p>
            <w:r>
              <w:t>Security posture narrative — cross-reference with compliance matrix</w:t>
            </w:r>
          </w:p>
        </w:tc>
        <w:tc>
          <w:tcPr>
            <w:tcW w:type="dxa" w:w="1728"/>
          </w:tcPr>
          <w:p>
            <w:r>
              <w:t>15 min</w:t>
            </w:r>
          </w:p>
        </w:tc>
      </w:tr>
    </w:tbl>
    <w:p>
      <w:pPr>
        <w:pStyle w:val="Heading1"/>
      </w:pPr>
      <w:r>
        <w:t>Domain Analysis</w:t>
      </w:r>
    </w:p>
    <w:p>
      <w:pPr>
        <w:pStyle w:val="Heading2"/>
      </w:pPr>
      <w:r>
        <w:t>Security &amp; Compliance</w:t>
      </w:r>
    </w:p>
    <w:p>
      <w:r>
        <w:t>Signals: 4  |  RED: 2  |  YELLOW: 2</w:t>
      </w:r>
    </w:p>
    <w:p>
      <w:r>
        <w:rPr>
          <w:b/>
          <w:color w:val="DC2626"/>
        </w:rPr>
        <w:t xml:space="preserve">[RED] </w:t>
      </w:r>
      <w:r>
        <w:rPr>
          <w:b/>
        </w:rPr>
        <w:t>No SOC2 Type II certification</w:t>
      </w:r>
    </w:p>
    <w:p>
      <w:r>
        <w:t>The compliance matrix explicitly marks SOC2 as 'not started'. No evidence of formal security audit in past 24 months. For a healthcare SaaS company handling PHI, this is a critical gap that blocks enterprise sales and creates regulatory exposure.</w:t>
      </w:r>
    </w:p>
    <w:p>
      <w:r>
        <w:rPr>
          <w:b/>
          <w:sz w:val="18"/>
        </w:rPr>
        <w:t xml:space="preserve">Signal: </w:t>
      </w:r>
      <w:r>
        <w:rPr>
          <w:sz w:val="18"/>
        </w:rPr>
        <w:t>SC-01</w:t>
      </w:r>
    </w:p>
    <w:p>
      <w:r>
        <w:rPr>
          <w:b/>
          <w:sz w:val="18"/>
        </w:rPr>
        <w:t xml:space="preserve">Document: </w:t>
      </w:r>
      <w:r>
        <w:rPr>
          <w:sz w:val="18"/>
        </w:rPr>
        <w:t>compliance_matrix.xlsx — "SOC2 Type II: Not Started. Last external security audit: None on record. HIPAA BAA: In place for 8 of 12 healthcare customers."</w:t>
      </w:r>
    </w:p>
    <w:p>
      <w:r>
        <w:rPr>
          <w:b/>
          <w:color w:val="475569"/>
          <w:sz w:val="18"/>
        </w:rPr>
        <w:t xml:space="preserve">Business impact: </w:t>
      </w:r>
      <w:r>
        <w:rPr>
          <w:sz w:val="18"/>
        </w:rPr>
        <w:t>SOC2 is table stakes for enterprise healthcare — 6-9 month timeline and $250K to remediate</w:t>
      </w:r>
    </w:p>
    <w:p>
      <w:r>
        <w:rPr>
          <w:color w:val="94A3B8"/>
          <w:sz w:val="16"/>
        </w:rPr>
        <w:t>Confidence: HIGH</w:t>
      </w:r>
    </w:p>
    <w:p/>
    <w:p>
      <w:r>
        <w:rPr>
          <w:b/>
          <w:color w:val="DC2626"/>
        </w:rPr>
        <w:t xml:space="preserve">[RED] </w:t>
      </w:r>
      <w:r>
        <w:rPr>
          <w:b/>
        </w:rPr>
        <w:t>PHI data breach in Q3 2025</w:t>
      </w:r>
    </w:p>
    <w:p>
      <w:r>
        <w:t>Incident log shows a contained PHI breach in August 2025 affecting 847 patient records. Breach was detected after 11 days (MTTD), contained within 48 hours, and reported to HHS. Root cause: misconfigured S3 bucket permissions.</w:t>
      </w:r>
    </w:p>
    <w:p>
      <w:r>
        <w:rPr>
          <w:b/>
          <w:sz w:val="18"/>
        </w:rPr>
        <w:t xml:space="preserve">Signal: </w:t>
      </w:r>
      <w:r>
        <w:rPr>
          <w:sz w:val="18"/>
        </w:rPr>
        <w:t>SC-06</w:t>
      </w:r>
    </w:p>
    <w:p>
      <w:r>
        <w:rPr>
          <w:b/>
          <w:sz w:val="18"/>
        </w:rPr>
        <w:t xml:space="preserve">Document: </w:t>
      </w:r>
      <w:r>
        <w:rPr>
          <w:sz w:val="18"/>
        </w:rPr>
        <w:t>incident_log.csv — "INC-2025-08-12: PHI exposure, 847 records, S3 misconfiguration. MTTD: 11 days. MTTR: 48 hours. HHS notification: 2025-08-26."</w:t>
      </w:r>
    </w:p>
    <w:p>
      <w:r>
        <w:rPr>
          <w:b/>
          <w:color w:val="475569"/>
          <w:sz w:val="18"/>
        </w:rPr>
        <w:t xml:space="preserve">Business impact: </w:t>
      </w:r>
      <w:r>
        <w:rPr>
          <w:sz w:val="18"/>
        </w:rPr>
        <w:t>Active breach history + no SOC2 = material compliance risk; buyer should factor in potential regulatory fines</w:t>
      </w:r>
    </w:p>
    <w:p>
      <w:r>
        <w:rPr>
          <w:color w:val="94A3B8"/>
          <w:sz w:val="16"/>
        </w:rPr>
        <w:t>Confidence: HIGH</w:t>
      </w:r>
    </w:p>
    <w:p/>
    <w:p>
      <w:r>
        <w:rPr>
          <w:b/>
          <w:color w:val="D97706"/>
        </w:rPr>
        <w:t xml:space="preserve">[YELLOW] </w:t>
      </w:r>
      <w:r>
        <w:rPr>
          <w:b/>
        </w:rPr>
        <w:t>Penetration test findings open for 8 months</w:t>
      </w:r>
    </w:p>
    <w:p>
      <w:r>
        <w:t>Last penetration test (January 2026) identified 3 critical and 7 high-severity findings. As of scan date, 2 critical findings remain open. No formal remediation timeline documented.</w:t>
      </w:r>
    </w:p>
    <w:p>
      <w:r>
        <w:rPr>
          <w:b/>
          <w:sz w:val="18"/>
        </w:rPr>
        <w:t xml:space="preserve">Signal: </w:t>
      </w:r>
      <w:r>
        <w:rPr>
          <w:sz w:val="18"/>
        </w:rPr>
        <w:t>SC-03</w:t>
      </w:r>
    </w:p>
    <w:p>
      <w:r>
        <w:rPr>
          <w:b/>
          <w:sz w:val="18"/>
        </w:rPr>
        <w:t xml:space="preserve">Document: </w:t>
      </w:r>
      <w:r>
        <w:rPr>
          <w:sz w:val="18"/>
        </w:rPr>
        <w:t>security_overview.pdf — "Pen test (Jan 2026): 3 critical, 7 high. Remediated: 1 critical, 4 high. Open: 2 critical, 3 high."</w:t>
      </w:r>
    </w:p>
    <w:p>
      <w:r>
        <w:rPr>
          <w:b/>
          <w:color w:val="475569"/>
          <w:sz w:val="18"/>
        </w:rPr>
        <w:t xml:space="preserve">Business impact: </w:t>
      </w:r>
      <w:r>
        <w:rPr>
          <w:sz w:val="18"/>
        </w:rPr>
        <w:t>Open critical pen test findings indicate weak security remediation discipline</w:t>
      </w:r>
    </w:p>
    <w:p>
      <w:r>
        <w:rPr>
          <w:color w:val="94A3B8"/>
          <w:sz w:val="16"/>
        </w:rPr>
        <w:t>Confidence: HIGH</w:t>
      </w:r>
    </w:p>
    <w:p/>
    <w:p>
      <w:r>
        <w:rPr>
          <w:b/>
          <w:color w:val="D97706"/>
        </w:rPr>
        <w:t xml:space="preserve">[YELLOW] </w:t>
      </w:r>
      <w:r>
        <w:rPr>
          <w:b/>
        </w:rPr>
        <w:t>No SIEM or centralized security monitoring</w:t>
      </w:r>
    </w:p>
    <w:p>
      <w:r>
        <w:t>Security monitoring relies on CloudWatch alerts and manual log review. No SIEM tool, no SOC, no centralized security dashboard. The 11-day MTTD for the Q3 breach is a direct consequence of this gap.</w:t>
      </w:r>
    </w:p>
    <w:p>
      <w:r>
        <w:rPr>
          <w:b/>
          <w:sz w:val="18"/>
        </w:rPr>
        <w:t xml:space="preserve">Signal: </w:t>
      </w:r>
      <w:r>
        <w:rPr>
          <w:sz w:val="18"/>
        </w:rPr>
        <w:t>SC-02</w:t>
      </w:r>
    </w:p>
    <w:p>
      <w:r>
        <w:rPr>
          <w:b/>
          <w:sz w:val="18"/>
        </w:rPr>
        <w:t xml:space="preserve">Document: </w:t>
      </w:r>
      <w:r>
        <w:rPr>
          <w:sz w:val="18"/>
        </w:rPr>
        <w:t>security_overview.pdf — "Security monitoring: CloudWatch alerts (basic). SIEM: None. SOC: None. Log aggregation: CloudWatch Logs only."</w:t>
      </w:r>
    </w:p>
    <w:p>
      <w:r>
        <w:rPr>
          <w:b/>
          <w:color w:val="475569"/>
          <w:sz w:val="18"/>
        </w:rPr>
        <w:t xml:space="preserve">Business impact: </w:t>
      </w:r>
      <w:r>
        <w:rPr>
          <w:sz w:val="18"/>
        </w:rPr>
        <w:t>SIEM deployment should be prioritized alongside SOC2 — enables faster incident detection</w:t>
      </w:r>
    </w:p>
    <w:p>
      <w:r>
        <w:rPr>
          <w:color w:val="94A3B8"/>
          <w:sz w:val="16"/>
        </w:rPr>
        <w:t>Confidence: MEDIUM</w:t>
      </w:r>
    </w:p>
    <w:p/>
    <w:p>
      <w:pPr>
        <w:pStyle w:val="Heading2"/>
      </w:pPr>
      <w:r>
        <w:t>Technology &amp; Architecture</w:t>
      </w:r>
    </w:p>
    <w:p>
      <w:r>
        <w:t>Signals: 4  |  RED: 1  |  YELLOW: 2</w:t>
      </w:r>
    </w:p>
    <w:p>
      <w:r>
        <w:rPr>
          <w:b/>
          <w:color w:val="DC2626"/>
        </w:rPr>
        <w:t xml:space="preserve">[RED] </w:t>
      </w:r>
      <w:r>
        <w:rPr>
          <w:b/>
        </w:rPr>
        <w:t>Legacy v1.x platform still serves largest customer</w:t>
      </w:r>
    </w:p>
    <w:p>
      <w:r>
        <w:t>Memorial Health (22% of CARR) remains on legacy v1.x platform scheduled for sunset Q2 2027. Migration to v2.0 has not been scoped. The v1.x codebase receives security patches only — no feature development.</w:t>
      </w:r>
    </w:p>
    <w:p>
      <w:r>
        <w:rPr>
          <w:b/>
          <w:sz w:val="18"/>
        </w:rPr>
        <w:t xml:space="preserve">Signal: </w:t>
      </w:r>
      <w:r>
        <w:rPr>
          <w:sz w:val="18"/>
        </w:rPr>
        <w:t>TA-06</w:t>
      </w:r>
    </w:p>
    <w:p>
      <w:r>
        <w:rPr>
          <w:b/>
          <w:sz w:val="18"/>
        </w:rPr>
        <w:t xml:space="preserve">Document: </w:t>
      </w:r>
      <w:r>
        <w:rPr>
          <w:sz w:val="18"/>
        </w:rPr>
        <w:t>product_roadmap.docx — "Memorial Health deployment: v1.3.2 (legacy). Migration to v2.0 not yet planned. Current maintenance mode: security patches only."</w:t>
      </w:r>
    </w:p>
    <w:p>
      <w:r>
        <w:rPr>
          <w:b/>
          <w:color w:val="475569"/>
          <w:sz w:val="18"/>
        </w:rPr>
        <w:t xml:space="preserve">Business impact: </w:t>
      </w:r>
      <w:r>
        <w:rPr>
          <w:sz w:val="18"/>
        </w:rPr>
        <w:t>Risk of losing 22% of CARR if migration is mishandled or customer churns during transition</w:t>
      </w:r>
    </w:p>
    <w:p>
      <w:r>
        <w:rPr>
          <w:color w:val="94A3B8"/>
          <w:sz w:val="16"/>
        </w:rPr>
        <w:t>Confidence: MEDIUM</w:t>
      </w:r>
    </w:p>
    <w:p/>
    <w:p>
      <w:r>
        <w:rPr>
          <w:b/>
          <w:color w:val="D97706"/>
        </w:rPr>
        <w:t xml:space="preserve">[YELLOW] </w:t>
      </w:r>
      <w:r>
        <w:rPr>
          <w:b/>
        </w:rPr>
        <w:t>Monolithic architecture with horizontal scaling limits</w:t>
      </w:r>
    </w:p>
    <w:p>
      <w:r>
        <w:t>The core platform is a single Django monolith deployed as one container. No service decomposition. Database is a single PostgreSQL instance with no read replicas. Under current load (2,000 concurrent users) this works, but the architecture cannot scale to the 10,000 user target without significant rework.</w:t>
      </w:r>
    </w:p>
    <w:p>
      <w:r>
        <w:rPr>
          <w:b/>
          <w:sz w:val="18"/>
        </w:rPr>
        <w:t xml:space="preserve">Signal: </w:t>
      </w:r>
      <w:r>
        <w:rPr>
          <w:sz w:val="18"/>
        </w:rPr>
        <w:t>TA-01</w:t>
      </w:r>
    </w:p>
    <w:p>
      <w:r>
        <w:rPr>
          <w:b/>
          <w:sz w:val="18"/>
        </w:rPr>
        <w:t xml:space="preserve">Document: </w:t>
      </w:r>
      <w:r>
        <w:rPr>
          <w:sz w:val="18"/>
        </w:rPr>
        <w:t>architecture_overview.pdf — "All application logic resides in a single Django application deployed via Docker Compose. The PostgreSQL database handles both transactional and analytical queries."</w:t>
      </w:r>
    </w:p>
    <w:p>
      <w:r>
        <w:rPr>
          <w:b/>
          <w:color w:val="475569"/>
          <w:sz w:val="18"/>
        </w:rPr>
        <w:t xml:space="preserve">Business impact: </w:t>
      </w:r>
      <w:r>
        <w:rPr>
          <w:sz w:val="18"/>
        </w:rPr>
        <w:t>Budget $800K-$1.2M and 12-18 months for service decomposition before enterprise scaling</w:t>
      </w:r>
    </w:p>
    <w:p>
      <w:r>
        <w:rPr>
          <w:color w:val="94A3B8"/>
          <w:sz w:val="16"/>
        </w:rPr>
        <w:t>Confidence: HIGH</w:t>
      </w:r>
    </w:p>
    <w:p/>
    <w:p>
      <w:r>
        <w:rPr>
          <w:b/>
          <w:color w:val="D97706"/>
        </w:rPr>
        <w:t xml:space="preserve">[YELLOW] </w:t>
      </w:r>
      <w:r>
        <w:rPr>
          <w:b/>
        </w:rPr>
        <w:t>Technical debt backlog at 340 story points</w:t>
      </w:r>
    </w:p>
    <w:p>
      <w:r>
        <w:t>Engineering backlog contains 340 story points of identified tech debt, roughly 4 sprint-months of work. Major items: database migration from Django ORM to async queries (120 pts), API versioning overhaul (80 pts), legacy Python 2 compatibility layer removal (60 pts).</w:t>
      </w:r>
    </w:p>
    <w:p>
      <w:r>
        <w:rPr>
          <w:b/>
          <w:sz w:val="18"/>
        </w:rPr>
        <w:t xml:space="preserve">Signal: </w:t>
      </w:r>
      <w:r>
        <w:rPr>
          <w:sz w:val="18"/>
        </w:rPr>
        <w:t>TA-07</w:t>
      </w:r>
    </w:p>
    <w:p>
      <w:r>
        <w:rPr>
          <w:b/>
          <w:sz w:val="18"/>
        </w:rPr>
        <w:t xml:space="preserve">Document: </w:t>
      </w:r>
      <w:r>
        <w:rPr>
          <w:sz w:val="18"/>
        </w:rPr>
        <w:t>architecture_overview.pdf — "Current tech debt backlog: 340 story points. Priority items include DB async migration (120 pts, P1), API v2 migration (80 pts, P1), Py2 compat removal (60 pts, P2)."</w:t>
      </w:r>
    </w:p>
    <w:p>
      <w:r>
        <w:rPr>
          <w:b/>
          <w:color w:val="475569"/>
          <w:sz w:val="18"/>
        </w:rPr>
        <w:t xml:space="preserve">Business impact: </w:t>
      </w:r>
      <w:r>
        <w:rPr>
          <w:sz w:val="18"/>
        </w:rPr>
        <w:t>Tech debt represents ~$400K in engineering time that competes with feature development</w:t>
      </w:r>
    </w:p>
    <w:p>
      <w:r>
        <w:rPr>
          <w:color w:val="94A3B8"/>
          <w:sz w:val="16"/>
        </w:rPr>
        <w:t>Confidence: HIGH</w:t>
      </w:r>
    </w:p>
    <w:p/>
    <w:p>
      <w:r>
        <w:rPr>
          <w:b/>
          <w:color w:val="16A34A"/>
        </w:rPr>
        <w:t xml:space="preserve">[GREEN] </w:t>
      </w:r>
      <w:r>
        <w:rPr>
          <w:b/>
        </w:rPr>
        <w:t>Modern dev tooling stack with good coverage</w:t>
      </w:r>
    </w:p>
    <w:p>
      <w:r>
        <w:t>Engineering uses GitHub (source control), CircleCI (CI/CD), Datadog (observability), Sentry (error tracking), and Terraform (IaC). Code coverage at 72%. Automated deployment pipeline with staging environment.</w:t>
      </w:r>
    </w:p>
    <w:p>
      <w:r>
        <w:rPr>
          <w:b/>
          <w:sz w:val="18"/>
        </w:rPr>
        <w:t xml:space="preserve">Signal: </w:t>
      </w:r>
      <w:r>
        <w:rPr>
          <w:sz w:val="18"/>
        </w:rPr>
        <w:t>TA-08</w:t>
      </w:r>
    </w:p>
    <w:p>
      <w:r>
        <w:rPr>
          <w:b/>
          <w:sz w:val="18"/>
        </w:rPr>
        <w:t xml:space="preserve">Document: </w:t>
      </w:r>
      <w:r>
        <w:rPr>
          <w:sz w:val="18"/>
        </w:rPr>
        <w:t>architecture_overview.pdf — "Tooling: GitHub Enterprise, CircleCI (Pro), Datadog APM, Sentry, Terraform Cloud. Code coverage: 72% (target: 80%)."</w:t>
      </w:r>
    </w:p>
    <w:p>
      <w:r>
        <w:rPr>
          <w:b/>
          <w:color w:val="475569"/>
          <w:sz w:val="18"/>
        </w:rPr>
        <w:t xml:space="preserve">Business impact: </w:t>
      </w:r>
      <w:r>
        <w:rPr>
          <w:sz w:val="18"/>
        </w:rPr>
        <w:t>Tooling is enterprise-grade — no immediate modernization investment needed</w:t>
      </w:r>
    </w:p>
    <w:p>
      <w:r>
        <w:rPr>
          <w:color w:val="94A3B8"/>
          <w:sz w:val="16"/>
        </w:rPr>
        <w:t>Confidence: HIGH</w:t>
      </w:r>
    </w:p>
    <w:p/>
    <w:p>
      <w:pPr>
        <w:pStyle w:val="Heading2"/>
      </w:pPr>
      <w:r>
        <w:t>Infrastructure &amp; Deployment</w:t>
      </w:r>
    </w:p>
    <w:p>
      <w:r>
        <w:t>Signals: 3  |  RED: 1  |  YELLOW: 2</w:t>
      </w:r>
    </w:p>
    <w:p>
      <w:r>
        <w:rPr>
          <w:b/>
          <w:color w:val="DC2626"/>
        </w:rPr>
        <w:t xml:space="preserve">[RED] </w:t>
      </w:r>
      <w:r>
        <w:rPr>
          <w:b/>
        </w:rPr>
        <w:t>Single-region deployment with no DR plan</w:t>
      </w:r>
    </w:p>
    <w:p>
      <w:r>
        <w:t>Entire platform runs in us-east-1 with no multi-region failover, no documented RTO/RPO targets, and no disaster recovery runbook. The infrastructure topology document shows a single availability zone for the primary database.</w:t>
      </w:r>
    </w:p>
    <w:p>
      <w:r>
        <w:rPr>
          <w:b/>
          <w:sz w:val="18"/>
        </w:rPr>
        <w:t xml:space="preserve">Signal: </w:t>
      </w:r>
      <w:r>
        <w:rPr>
          <w:sz w:val="18"/>
        </w:rPr>
        <w:t>ID-01</w:t>
      </w:r>
    </w:p>
    <w:p>
      <w:r>
        <w:rPr>
          <w:b/>
          <w:sz w:val="18"/>
        </w:rPr>
        <w:t xml:space="preserve">Document: </w:t>
      </w:r>
      <w:r>
        <w:rPr>
          <w:sz w:val="18"/>
        </w:rPr>
        <w:t>infra_topology.pdf — "Deployment: AWS us-east-1, single AZ for primary DB. Multi-region: Not implemented. DR plan: None documented. RTO/RPO: Not defined."</w:t>
      </w:r>
    </w:p>
    <w:p>
      <w:r>
        <w:rPr>
          <w:b/>
          <w:color w:val="475569"/>
          <w:sz w:val="18"/>
        </w:rPr>
        <w:t xml:space="preserve">Business impact: </w:t>
      </w:r>
      <w:r>
        <w:rPr>
          <w:sz w:val="18"/>
        </w:rPr>
        <w:t>A region outage would take down the entire platform — unacceptable for healthcare</w:t>
      </w:r>
    </w:p>
    <w:p>
      <w:r>
        <w:rPr>
          <w:color w:val="94A3B8"/>
          <w:sz w:val="16"/>
        </w:rPr>
        <w:t>Confidence: HIGH</w:t>
      </w:r>
    </w:p>
    <w:p/>
    <w:p>
      <w:r>
        <w:rPr>
          <w:b/>
          <w:color w:val="D97706"/>
        </w:rPr>
        <w:t xml:space="preserve">[YELLOW] </w:t>
      </w:r>
      <w:r>
        <w:rPr>
          <w:b/>
        </w:rPr>
        <w:t>AWS hosting costs growing 8% month-over-month</w:t>
      </w:r>
    </w:p>
    <w:p>
      <w:r>
        <w:t>Monthly AWS spend has grown from $18K to $26K over 9 months (8% MoM average). No reserved instances. Cost optimization review not conducted. At current trajectory, annual hosting will reach $380K by Q4 2026.</w:t>
      </w:r>
    </w:p>
    <w:p>
      <w:r>
        <w:rPr>
          <w:b/>
          <w:sz w:val="18"/>
        </w:rPr>
        <w:t xml:space="preserve">Signal: </w:t>
      </w:r>
      <w:r>
        <w:rPr>
          <w:sz w:val="18"/>
        </w:rPr>
        <w:t>ID-06</w:t>
      </w:r>
    </w:p>
    <w:p>
      <w:r>
        <w:rPr>
          <w:b/>
          <w:sz w:val="18"/>
        </w:rPr>
        <w:t xml:space="preserve">Document: </w:t>
      </w:r>
      <w:r>
        <w:rPr>
          <w:sz w:val="18"/>
        </w:rPr>
        <w:t>financial_model.xlsx — "AWS monthly: Jan $18.2K, Apr $21.1K, Jul $23.8K, Oct $26.4K. RI coverage: 0%. Cost review: None on record."</w:t>
      </w:r>
    </w:p>
    <w:p>
      <w:r>
        <w:rPr>
          <w:b/>
          <w:color w:val="475569"/>
          <w:sz w:val="18"/>
        </w:rPr>
        <w:t xml:space="preserve">Business impact: </w:t>
      </w:r>
      <w:r>
        <w:rPr>
          <w:sz w:val="18"/>
        </w:rPr>
        <w:t>Hosting cost trajectory needs attention — RI adoption alone could save 30-40%</w:t>
      </w:r>
    </w:p>
    <w:p>
      <w:r>
        <w:rPr>
          <w:color w:val="94A3B8"/>
          <w:sz w:val="16"/>
        </w:rPr>
        <w:t>Confidence: HIGH</w:t>
      </w:r>
    </w:p>
    <w:p/>
    <w:p>
      <w:r>
        <w:rPr>
          <w:b/>
          <w:color w:val="D97706"/>
        </w:rPr>
        <w:t xml:space="preserve">[YELLOW] </w:t>
      </w:r>
      <w:r>
        <w:rPr>
          <w:b/>
        </w:rPr>
        <w:t>CI/CD pipeline has no security scanning stage</w:t>
      </w:r>
    </w:p>
    <w:p>
      <w:r>
        <w:t>The CircleCI pipeline includes build, test, and deploy stages but no SAST, DAST, or dependency vulnerability scanning. Container images are not scanned before deployment. Given the healthcare context, this is a notable gap.</w:t>
      </w:r>
    </w:p>
    <w:p>
      <w:r>
        <w:rPr>
          <w:b/>
          <w:sz w:val="18"/>
        </w:rPr>
        <w:t xml:space="preserve">Signal: </w:t>
      </w:r>
      <w:r>
        <w:rPr>
          <w:sz w:val="18"/>
        </w:rPr>
        <w:t>ID-03</w:t>
      </w:r>
    </w:p>
    <w:p>
      <w:r>
        <w:rPr>
          <w:b/>
          <w:sz w:val="18"/>
        </w:rPr>
        <w:t xml:space="preserve">Document: </w:t>
      </w:r>
      <w:r>
        <w:rPr>
          <w:sz w:val="18"/>
        </w:rPr>
        <w:t>infra_topology.pdf — "CI/CD stages: lint → test → build → deploy-staging → deploy-prod. Security scanning: None in pipeline."</w:t>
      </w:r>
    </w:p>
    <w:p>
      <w:r>
        <w:rPr>
          <w:b/>
          <w:color w:val="475569"/>
          <w:sz w:val="18"/>
        </w:rPr>
        <w:t xml:space="preserve">Business impact: </w:t>
      </w:r>
      <w:r>
        <w:rPr>
          <w:sz w:val="18"/>
        </w:rPr>
        <w:t>Add security scanning to CI/CD as quick win — tools like Snyk or Trivy can be integrated in days</w:t>
      </w:r>
    </w:p>
    <w:p>
      <w:r>
        <w:rPr>
          <w:color w:val="94A3B8"/>
          <w:sz w:val="16"/>
        </w:rPr>
        <w:t>Confidence: MEDIUM</w:t>
      </w:r>
    </w:p>
    <w:p/>
    <w:p>
      <w:pPr>
        <w:pStyle w:val="Heading2"/>
      </w:pPr>
      <w:r>
        <w:t>Organization &amp; Talent</w:t>
      </w:r>
    </w:p>
    <w:p>
      <w:r>
        <w:t>Signals: 4  |  RED: 0  |  YELLOW: 3</w:t>
      </w:r>
    </w:p>
    <w:p>
      <w:r>
        <w:rPr>
          <w:b/>
          <w:color w:val="D97706"/>
        </w:rPr>
        <w:t xml:space="preserve">[YELLOW] </w:t>
      </w:r>
      <w:r>
        <w:rPr>
          <w:b/>
        </w:rPr>
        <w:t>40% contractor ratio with backend concentration</w:t>
      </w:r>
    </w:p>
    <w:p>
      <w:r>
        <w:t>12 of 30 engineers are contractors (40%). 8 of the 12 contractors are concentrated in backend services — the most critical layer handling data processing, API, and integrations. No documentation of contractor knowledge transfer or runbooks.</w:t>
      </w:r>
    </w:p>
    <w:p>
      <w:r>
        <w:rPr>
          <w:b/>
          <w:sz w:val="18"/>
        </w:rPr>
        <w:t xml:space="preserve">Signal: </w:t>
      </w:r>
      <w:r>
        <w:rPr>
          <w:sz w:val="18"/>
        </w:rPr>
        <w:t>OT-05</w:t>
      </w:r>
    </w:p>
    <w:p>
      <w:r>
        <w:rPr>
          <w:b/>
          <w:sz w:val="18"/>
        </w:rPr>
        <w:t xml:space="preserve">Document: </w:t>
      </w:r>
      <w:r>
        <w:rPr>
          <w:sz w:val="18"/>
        </w:rPr>
        <w:t>org_chart.pptx — "Engineering headcount: 18 FTE + 12 contractors. Backend team: 3 FTE + 8 contractors. DevOps: 2 FTE + 2 contractors. Frontend: 13 FTE + 2 contractors."</w:t>
      </w:r>
    </w:p>
    <w:p>
      <w:r>
        <w:rPr>
          <w:b/>
          <w:color w:val="475569"/>
          <w:sz w:val="18"/>
        </w:rPr>
        <w:t xml:space="preserve">Business impact: </w:t>
      </w:r>
      <w:r>
        <w:rPr>
          <w:sz w:val="18"/>
        </w:rPr>
        <w:t>Post-acquisition contractor churn could cripple backend operations; budget $180K-$240K for conversions</w:t>
      </w:r>
    </w:p>
    <w:p>
      <w:r>
        <w:rPr>
          <w:color w:val="94A3B8"/>
          <w:sz w:val="16"/>
        </w:rPr>
        <w:t>Confidence: HIGH</w:t>
      </w:r>
    </w:p>
    <w:p/>
    <w:p>
      <w:r>
        <w:rPr>
          <w:b/>
          <w:color w:val="D97706"/>
        </w:rPr>
        <w:t xml:space="preserve">[YELLOW] </w:t>
      </w:r>
      <w:r>
        <w:rPr>
          <w:b/>
        </w:rPr>
        <w:t>CTO spans 7 direct report functions with no VP Engineering</w:t>
      </w:r>
    </w:p>
    <w:p>
      <w:r>
        <w:t>The CTO has direct reports across engineering, DevOps, QA, data science, IT, security, and product. No VP of Engineering or Director-level layer exists. This creates a single point of failure and limits the CTO's ability to focus on strategy vs. operations.</w:t>
      </w:r>
    </w:p>
    <w:p>
      <w:r>
        <w:rPr>
          <w:b/>
          <w:sz w:val="18"/>
        </w:rPr>
        <w:t xml:space="preserve">Signal: </w:t>
      </w:r>
      <w:r>
        <w:rPr>
          <w:sz w:val="18"/>
        </w:rPr>
        <w:t>OT-01</w:t>
      </w:r>
    </w:p>
    <w:p>
      <w:r>
        <w:rPr>
          <w:b/>
          <w:sz w:val="18"/>
        </w:rPr>
        <w:t xml:space="preserve">Document: </w:t>
      </w:r>
      <w:r>
        <w:rPr>
          <w:sz w:val="18"/>
        </w:rPr>
        <w:t>org_chart.pptx — "CTO direct reports: Backend Lead, Frontend Lead, DevOps Lead, QA Lead, Data Science Lead, IT Manager, Security Analyst."</w:t>
      </w:r>
    </w:p>
    <w:p>
      <w:r>
        <w:rPr>
          <w:b/>
          <w:color w:val="475569"/>
          <w:sz w:val="18"/>
        </w:rPr>
        <w:t xml:space="preserve">Business impact: </w:t>
      </w:r>
      <w:r>
        <w:rPr>
          <w:sz w:val="18"/>
        </w:rPr>
        <w:t>Key-person risk on CTO; need to hire VP Engineering in first 100 days post-close</w:t>
      </w:r>
    </w:p>
    <w:p>
      <w:r>
        <w:rPr>
          <w:color w:val="94A3B8"/>
          <w:sz w:val="16"/>
        </w:rPr>
        <w:t>Confidence: MEDIUM</w:t>
      </w:r>
    </w:p>
    <w:p/>
    <w:p>
      <w:r>
        <w:rPr>
          <w:b/>
          <w:color w:val="D97706"/>
        </w:rPr>
        <w:t xml:space="preserve">[YELLOW] </w:t>
      </w:r>
      <w:r>
        <w:rPr>
          <w:b/>
        </w:rPr>
        <w:t>No formal onboarding or knowledge management system</w:t>
      </w:r>
    </w:p>
    <w:p>
      <w:r>
        <w:t>No engineering wiki, no architecture decision records (ADRs), no onboarding documentation beyond a README. New engineer ramp-up time estimated at 3 months based on CTO interview notes.</w:t>
      </w:r>
    </w:p>
    <w:p>
      <w:r>
        <w:rPr>
          <w:b/>
          <w:sz w:val="18"/>
        </w:rPr>
        <w:t xml:space="preserve">Signal: </w:t>
      </w:r>
      <w:r>
        <w:rPr>
          <w:sz w:val="18"/>
        </w:rPr>
        <w:t>OT-04</w:t>
      </w:r>
    </w:p>
    <w:p>
      <w:r>
        <w:rPr>
          <w:b/>
          <w:sz w:val="18"/>
        </w:rPr>
        <w:t xml:space="preserve">Document: </w:t>
      </w:r>
      <w:r>
        <w:rPr>
          <w:sz w:val="18"/>
        </w:rPr>
        <w:t>hr_summary.docx — "Engineering documentation: GitHub README only. ADRs: None. Onboarding: Informal, peer-based. Estimated ramp: 3 months."</w:t>
      </w:r>
    </w:p>
    <w:p>
      <w:r>
        <w:rPr>
          <w:b/>
          <w:color w:val="475569"/>
          <w:sz w:val="18"/>
        </w:rPr>
        <w:t xml:space="preserve">Business impact: </w:t>
      </w:r>
      <w:r>
        <w:rPr>
          <w:sz w:val="18"/>
        </w:rPr>
        <w:t>Institutional knowledge lives in people's heads — high risk if key engineers leave</w:t>
      </w:r>
    </w:p>
    <w:p>
      <w:r>
        <w:rPr>
          <w:color w:val="94A3B8"/>
          <w:sz w:val="16"/>
        </w:rPr>
        <w:t>Confidence: MEDIUM</w:t>
      </w:r>
    </w:p>
    <w:p/>
    <w:p>
      <w:r>
        <w:rPr>
          <w:b/>
          <w:color w:val="16A34A"/>
        </w:rPr>
        <w:t xml:space="preserve">[GREEN] </w:t>
      </w:r>
      <w:r>
        <w:rPr>
          <w:b/>
        </w:rPr>
        <w:t>Engineering retention at 88% over 12 months</w:t>
      </w:r>
    </w:p>
    <w:p>
      <w:r>
        <w:t>12-month FTE retention is 88% (above the 85% industry benchmark). Voluntary departures were 2 junior engineers. Senior staff retention is 100%. This suggests healthy team culture despite the organizational structure concerns.</w:t>
      </w:r>
    </w:p>
    <w:p>
      <w:r>
        <w:rPr>
          <w:b/>
          <w:sz w:val="18"/>
        </w:rPr>
        <w:t xml:space="preserve">Signal: </w:t>
      </w:r>
      <w:r>
        <w:rPr>
          <w:sz w:val="18"/>
        </w:rPr>
        <w:t>OT-03</w:t>
      </w:r>
    </w:p>
    <w:p>
      <w:r>
        <w:rPr>
          <w:b/>
          <w:sz w:val="18"/>
        </w:rPr>
        <w:t xml:space="preserve">Document: </w:t>
      </w:r>
      <w:r>
        <w:rPr>
          <w:sz w:val="18"/>
        </w:rPr>
        <w:t>hr_summary.docx — "12-month retention: 88%. Departures: 2 junior FTE (voluntary). Senior+ retention: 100%."</w:t>
      </w:r>
    </w:p>
    <w:p>
      <w:r>
        <w:rPr>
          <w:b/>
          <w:color w:val="475569"/>
          <w:sz w:val="18"/>
        </w:rPr>
        <w:t xml:space="preserve">Business impact: </w:t>
      </w:r>
      <w:r>
        <w:rPr>
          <w:sz w:val="18"/>
        </w:rPr>
        <w:t>Retention is a positive signal — reduces post-acquisition integration risk</w:t>
      </w:r>
    </w:p>
    <w:p>
      <w:r>
        <w:rPr>
          <w:color w:val="94A3B8"/>
          <w:sz w:val="16"/>
        </w:rPr>
        <w:t>Confidence: HIGH</w:t>
      </w:r>
    </w:p>
    <w:p/>
    <w:p>
      <w:pPr>
        <w:pStyle w:val="Heading2"/>
      </w:pPr>
      <w:r>
        <w:t>R&amp;D Spend Assessment</w:t>
      </w:r>
    </w:p>
    <w:p>
      <w:r>
        <w:t>Signals: 3  |  RED: 0  |  YELLOW: 1</w:t>
      </w:r>
    </w:p>
    <w:p>
      <w:r>
        <w:rPr>
          <w:b/>
          <w:color w:val="D97706"/>
        </w:rPr>
        <w:t xml:space="preserve">[YELLOW] </w:t>
      </w:r>
      <w:r>
        <w:rPr>
          <w:b/>
        </w:rPr>
        <w:t>Top customer at 22% of CARR creates revenue concentration risk</w:t>
      </w:r>
    </w:p>
    <w:p>
      <w:r>
        <w:t>Memorial Health represents $1.03M of $4.7M CARR (22%). The next largest customer is 8% of CARR. This level of concentration creates dependency risk, especially given Memorial Health is on the legacy v1.x platform.</w:t>
      </w:r>
    </w:p>
    <w:p>
      <w:r>
        <w:rPr>
          <w:b/>
          <w:sz w:val="18"/>
        </w:rPr>
        <w:t xml:space="preserve">Signal: </w:t>
      </w:r>
      <w:r>
        <w:rPr>
          <w:sz w:val="18"/>
        </w:rPr>
        <w:t>RS-07</w:t>
      </w:r>
    </w:p>
    <w:p>
      <w:r>
        <w:rPr>
          <w:b/>
          <w:sz w:val="18"/>
        </w:rPr>
        <w:t xml:space="preserve">Document: </w:t>
      </w:r>
      <w:r>
        <w:rPr>
          <w:sz w:val="18"/>
        </w:rPr>
        <w:t>financial_model.xlsx — "Top 5 customers: Memorial Health ($1.03M, 22%), City Medical ($376K, 8%), Pacific Care ($329K, 7%), Summit Health ($282K, 6%), Valley Clinic ($235K, 5%)."</w:t>
      </w:r>
    </w:p>
    <w:p>
      <w:r>
        <w:rPr>
          <w:b/>
          <w:color w:val="475569"/>
          <w:sz w:val="18"/>
        </w:rPr>
        <w:t xml:space="preserve">Business impact: </w:t>
      </w:r>
      <w:r>
        <w:rPr>
          <w:sz w:val="18"/>
        </w:rPr>
        <w:t>Single-customer concentration above 20% is a yellow flag for PE — diversification plan needed</w:t>
      </w:r>
    </w:p>
    <w:p>
      <w:r>
        <w:rPr>
          <w:color w:val="94A3B8"/>
          <w:sz w:val="16"/>
        </w:rPr>
        <w:t>Confidence: HIGH</w:t>
      </w:r>
    </w:p>
    <w:p/>
    <w:p>
      <w:r>
        <w:rPr>
          <w:b/>
          <w:color w:val="16A34A"/>
        </w:rPr>
        <w:t xml:space="preserve">[GREEN] </w:t>
      </w:r>
      <w:r>
        <w:rPr>
          <w:b/>
        </w:rPr>
        <w:t>Strong R&amp;D investment at 45% of revenue</w:t>
      </w:r>
    </w:p>
    <w:p>
      <w:r>
        <w:t>R&amp;D spend is $2.1M on $4.7M revenue (44.7%). This is healthy for a growth-stage healthcare SaaS company and indicates the company is investing in product development rather than just maintaining.</w:t>
      </w:r>
    </w:p>
    <w:p>
      <w:r>
        <w:rPr>
          <w:b/>
          <w:sz w:val="18"/>
        </w:rPr>
        <w:t xml:space="preserve">Signal: </w:t>
      </w:r>
      <w:r>
        <w:rPr>
          <w:sz w:val="18"/>
        </w:rPr>
        <w:t>RS-06</w:t>
      </w:r>
    </w:p>
    <w:p>
      <w:r>
        <w:rPr>
          <w:b/>
          <w:sz w:val="18"/>
        </w:rPr>
        <w:t xml:space="preserve">Document: </w:t>
      </w:r>
      <w:r>
        <w:rPr>
          <w:sz w:val="18"/>
        </w:rPr>
        <w:t>financial_model.xlsx — "FY2025 R&amp;D: $2.1M (44.7% of $4.7M revenue). Breakdown: Salaries $1.6M, Cloud/Infra $320K, Tools $180K."</w:t>
      </w:r>
    </w:p>
    <w:p>
      <w:r>
        <w:rPr>
          <w:b/>
          <w:color w:val="475569"/>
          <w:sz w:val="18"/>
        </w:rPr>
        <w:t xml:space="preserve">Business impact: </w:t>
      </w:r>
      <w:r>
        <w:rPr>
          <w:sz w:val="18"/>
        </w:rPr>
        <w:t>R&amp;D investment level supports continued product development velocity</w:t>
      </w:r>
    </w:p>
    <w:p>
      <w:r>
        <w:rPr>
          <w:color w:val="94A3B8"/>
          <w:sz w:val="16"/>
        </w:rPr>
        <w:t>Confidence: HIGH</w:t>
      </w:r>
    </w:p>
    <w:p/>
    <w:p>
      <w:r>
        <w:rPr>
          <w:b/>
          <w:color w:val="16A34A"/>
        </w:rPr>
        <w:t xml:space="preserve">[GREEN] </w:t>
      </w:r>
      <w:r>
        <w:rPr>
          <w:b/>
        </w:rPr>
        <w:t>Feature velocity at 12 releases per quarter</w:t>
      </w:r>
    </w:p>
    <w:p>
      <w:r>
        <w:t>The product team ships 12 feature releases per quarter (roughly weekly), with 94% gross retention suggesting strong product-market fit. Feature requests from customers are tracked and prioritized quarterly.</w:t>
      </w:r>
    </w:p>
    <w:p>
      <w:r>
        <w:rPr>
          <w:b/>
          <w:sz w:val="18"/>
        </w:rPr>
        <w:t xml:space="preserve">Signal: </w:t>
      </w:r>
      <w:r>
        <w:rPr>
          <w:sz w:val="18"/>
        </w:rPr>
        <w:t>RS-01</w:t>
      </w:r>
    </w:p>
    <w:p>
      <w:r>
        <w:rPr>
          <w:b/>
          <w:sz w:val="18"/>
        </w:rPr>
        <w:t xml:space="preserve">Document: </w:t>
      </w:r>
      <w:r>
        <w:rPr>
          <w:sz w:val="18"/>
        </w:rPr>
        <w:t>product_roadmap.docx — "Feature releases: 12/quarter. Gross retention: 94%. NPS: 42. Feature request backlog: 87 items, prioritized quarterly."</w:t>
      </w:r>
    </w:p>
    <w:p>
      <w:r>
        <w:rPr>
          <w:b/>
          <w:color w:val="475569"/>
          <w:sz w:val="18"/>
        </w:rPr>
        <w:t xml:space="preserve">Business impact: </w:t>
      </w:r>
      <w:r>
        <w:rPr>
          <w:sz w:val="18"/>
        </w:rPr>
        <w:t>Strong velocity and retention signals — product investment is paying off</w:t>
      </w:r>
    </w:p>
    <w:p>
      <w:r>
        <w:rPr>
          <w:color w:val="94A3B8"/>
          <w:sz w:val="16"/>
        </w:rPr>
        <w:t>Confidence: HIGH</w:t>
      </w:r>
    </w:p>
    <w:p/>
    <w:p>
      <w:pPr>
        <w:pStyle w:val="Heading2"/>
      </w:pPr>
      <w:r>
        <w:t>SDLC &amp; Product Management</w:t>
      </w:r>
    </w:p>
    <w:p>
      <w:r>
        <w:t>Signals: 1  |  RED: 0  |  YELLOW: 1</w:t>
      </w:r>
    </w:p>
    <w:p>
      <w:r>
        <w:rPr>
          <w:b/>
          <w:color w:val="D97706"/>
        </w:rPr>
        <w:t xml:space="preserve">[YELLOW] </w:t>
      </w:r>
      <w:r>
        <w:rPr>
          <w:b/>
        </w:rPr>
        <w:t>QA team at 2 FTE for 15 deployments/month</w:t>
      </w:r>
    </w:p>
    <w:p>
      <w:r>
        <w:t>The QA team consists of 2 FTEs handling testing for 15 production deployments per month. Test automation covers 45% of regression suite. Manual testing is the bottleneck — average PR-to-production time is 5 days, with QA accounting for 3 of those days.</w:t>
      </w:r>
    </w:p>
    <w:p>
      <w:r>
        <w:rPr>
          <w:b/>
          <w:sz w:val="18"/>
        </w:rPr>
        <w:t xml:space="preserve">Signal: </w:t>
      </w:r>
      <w:r>
        <w:rPr>
          <w:sz w:val="18"/>
        </w:rPr>
        <w:t>SP-03</w:t>
      </w:r>
    </w:p>
    <w:p>
      <w:r>
        <w:rPr>
          <w:b/>
          <w:sz w:val="18"/>
        </w:rPr>
        <w:t xml:space="preserve">Document: </w:t>
      </w:r>
      <w:r>
        <w:rPr>
          <w:sz w:val="18"/>
        </w:rPr>
        <w:t>product_roadmap.docx — "QA team: 2 FTE. Monthly deployments: 15. Test automation: 45% of regression. Avg deploy cycle: 5 days (3 days in QA)."</w:t>
      </w:r>
    </w:p>
    <w:p>
      <w:r>
        <w:rPr>
          <w:b/>
          <w:color w:val="475569"/>
          <w:sz w:val="18"/>
        </w:rPr>
        <w:t xml:space="preserve">Business impact: </w:t>
      </w:r>
      <w:r>
        <w:rPr>
          <w:sz w:val="18"/>
        </w:rPr>
        <w:t>QA bottleneck will worsen as deployment frequency increases — invest in test automation</w:t>
      </w:r>
    </w:p>
    <w:p>
      <w:r>
        <w:rPr>
          <w:color w:val="94A3B8"/>
          <w:sz w:val="16"/>
        </w:rPr>
        <w:t>Confidence: MEDIUM</w:t>
      </w:r>
    </w:p>
    <w:p/>
    <w:p>
      <w:pPr>
        <w:pStyle w:val="Heading2"/>
      </w:pPr>
      <w:r>
        <w:t>Data &amp; AI Readiness</w:t>
      </w:r>
    </w:p>
    <w:p>
      <w:r>
        <w:t>Signals: 1  |  RED: 0  |  YELLOW: 0</w:t>
      </w:r>
    </w:p>
    <w:p>
      <w:r>
        <w:rPr>
          <w:b/>
          <w:color w:val="16A34A"/>
        </w:rPr>
        <w:t xml:space="preserve">[GREEN] </w:t>
      </w:r>
      <w:r>
        <w:rPr>
          <w:b/>
        </w:rPr>
        <w:t>Well-architected ML pipeline for clinical predictions</w:t>
      </w:r>
    </w:p>
    <w:p>
      <w:r>
        <w:t>Data science team has built a production ML pipeline using MLflow for experiment tracking, Airflow for orchestration, and scikit-learn for modeling. The clinical prediction model (patient readmission risk) has been in production for 8 months with monitored drift detection.</w:t>
      </w:r>
    </w:p>
    <w:p>
      <w:r>
        <w:rPr>
          <w:b/>
          <w:sz w:val="18"/>
        </w:rPr>
        <w:t xml:space="preserve">Signal: </w:t>
      </w:r>
      <w:r>
        <w:rPr>
          <w:sz w:val="18"/>
        </w:rPr>
        <w:t>DA-01</w:t>
      </w:r>
    </w:p>
    <w:p>
      <w:r>
        <w:rPr>
          <w:b/>
          <w:sz w:val="18"/>
        </w:rPr>
        <w:t xml:space="preserve">Document: </w:t>
      </w:r>
      <w:r>
        <w:rPr>
          <w:sz w:val="18"/>
        </w:rPr>
        <w:t>architecture_overview.pdf — "ML stack: MLflow + Airflow + scikit-learn. Production model: Patient readmission risk (8 months live). Drift monitoring: Weekly automated checks."</w:t>
      </w:r>
    </w:p>
    <w:p>
      <w:r>
        <w:rPr>
          <w:b/>
          <w:color w:val="475569"/>
          <w:sz w:val="18"/>
        </w:rPr>
        <w:t xml:space="preserve">Business impact: </w:t>
      </w:r>
      <w:r>
        <w:rPr>
          <w:sz w:val="18"/>
        </w:rPr>
        <w:t>ML capability is a competitive differentiator — protect and invest in this team</w:t>
      </w:r>
    </w:p>
    <w:p>
      <w:r>
        <w:rPr>
          <w:color w:val="94A3B8"/>
          <w:sz w:val="16"/>
        </w:rPr>
        <w:t>Confidence: HIGH</w:t>
      </w:r>
    </w:p>
    <w:p/>
    <w:p>
      <w:pPr>
        <w:pStyle w:val="Heading1"/>
      </w:pPr>
      <w:r>
        <w:t>Questions for the Target</w:t>
      </w:r>
    </w:p>
    <w:p>
      <w:pPr>
        <w:pStyle w:val="Heading3"/>
      </w:pPr>
      <w:r>
        <w:t>Technology &amp; Architecture (3 questions)</w:t>
      </w:r>
    </w:p>
    <w:p>
      <w:r>
        <w:rPr>
          <w:b/>
        </w:rPr>
        <w:t xml:space="preserve">[MEDIUM] </w:t>
      </w:r>
      <w:r>
        <w:t>1. Budget $800K-$1.2M and 12-18 months for service decomposition before enterprise scaling</w:t>
      </w:r>
    </w:p>
    <w:p>
      <w:r>
        <w:rPr>
          <w:b/>
        </w:rPr>
        <w:t xml:space="preserve">[MEDIUM] </w:t>
      </w:r>
      <w:r>
        <w:t>2. Tech debt represents ~$400K in engineering time that competes with feature development</w:t>
      </w:r>
    </w:p>
    <w:p>
      <w:r>
        <w:rPr>
          <w:b/>
        </w:rPr>
        <w:t xml:space="preserve">[HIGH] </w:t>
      </w:r>
      <w:r>
        <w:t>3. Risk of losing 22% of CARR if migration is mishandled or customer churns during transition</w:t>
      </w:r>
    </w:p>
    <w:p>
      <w:pPr>
        <w:pStyle w:val="Heading3"/>
      </w:pPr>
      <w:r>
        <w:t>Security &amp; Compliance (4 questions)</w:t>
      </w:r>
    </w:p>
    <w:p>
      <w:r>
        <w:rPr>
          <w:b/>
        </w:rPr>
        <w:t xml:space="preserve">[HIGH] </w:t>
      </w:r>
      <w:r>
        <w:t>1. SOC2 is table stakes for enterprise healthcare — 6-9 month timeline and $250K to remediate</w:t>
      </w:r>
    </w:p>
    <w:p>
      <w:r>
        <w:rPr>
          <w:b/>
        </w:rPr>
        <w:t xml:space="preserve">[HIGH] </w:t>
      </w:r>
      <w:r>
        <w:t>2. Active breach history + no SOC2 = material compliance risk; buyer should factor in potential regulatory fines</w:t>
      </w:r>
    </w:p>
    <w:p>
      <w:r>
        <w:rPr>
          <w:b/>
        </w:rPr>
        <w:t xml:space="preserve">[MEDIUM] </w:t>
      </w:r>
      <w:r>
        <w:t>3. Open critical pen test findings indicate weak security remediation discipline</w:t>
      </w:r>
    </w:p>
    <w:p>
      <w:r>
        <w:rPr>
          <w:b/>
        </w:rPr>
        <w:t xml:space="preserve">[MEDIUM] </w:t>
      </w:r>
      <w:r>
        <w:t>4. SIEM deployment should be prioritized alongside SOC2 — enables faster incident detection</w:t>
      </w:r>
    </w:p>
    <w:p>
      <w:pPr>
        <w:pStyle w:val="Heading3"/>
      </w:pPr>
      <w:r>
        <w:t>Organization &amp; Talent (3 questions)</w:t>
      </w:r>
    </w:p>
    <w:p>
      <w:r>
        <w:rPr>
          <w:b/>
        </w:rPr>
        <w:t xml:space="preserve">[MEDIUM] </w:t>
      </w:r>
      <w:r>
        <w:t>1. Post-acquisition contractor churn could cripple backend operations; budget $180K-$240K for conversions</w:t>
      </w:r>
    </w:p>
    <w:p>
      <w:r>
        <w:rPr>
          <w:b/>
        </w:rPr>
        <w:t xml:space="preserve">[MEDIUM] </w:t>
      </w:r>
      <w:r>
        <w:t>2. Key-person risk on CTO; need to hire VP Engineering in first 100 days post-close</w:t>
      </w:r>
    </w:p>
    <w:p>
      <w:r>
        <w:rPr>
          <w:b/>
        </w:rPr>
        <w:t xml:space="preserve">[MEDIUM] </w:t>
      </w:r>
      <w:r>
        <w:t>3. Institutional knowledge lives in people's heads — high risk if key engineers leave</w:t>
      </w:r>
    </w:p>
    <w:p>
      <w:pPr>
        <w:pStyle w:val="Heading3"/>
      </w:pPr>
      <w:r>
        <w:t>Infrastructure &amp; Deployment (3 questions)</w:t>
      </w:r>
    </w:p>
    <w:p>
      <w:r>
        <w:rPr>
          <w:b/>
        </w:rPr>
        <w:t xml:space="preserve">[MEDIUM] </w:t>
      </w:r>
      <w:r>
        <w:t>1. Hosting cost trajectory needs attention — RI adoption alone could save 30-40%</w:t>
      </w:r>
    </w:p>
    <w:p>
      <w:r>
        <w:rPr>
          <w:b/>
        </w:rPr>
        <w:t xml:space="preserve">[HIGH] </w:t>
      </w:r>
      <w:r>
        <w:t>2. A region outage would take down the entire platform — unacceptable for healthcare</w:t>
      </w:r>
    </w:p>
    <w:p>
      <w:r>
        <w:rPr>
          <w:b/>
        </w:rPr>
        <w:t xml:space="preserve">[MEDIUM] </w:t>
      </w:r>
      <w:r>
        <w:t>3. Add security scanning to CI/CD as quick win — tools like Snyk or Trivy can be integrated in days</w:t>
      </w:r>
    </w:p>
    <w:p>
      <w:pPr>
        <w:pStyle w:val="Heading3"/>
      </w:pPr>
      <w:r>
        <w:t>SDLC &amp; Product Management (1 questions)</w:t>
      </w:r>
    </w:p>
    <w:p>
      <w:r>
        <w:rPr>
          <w:b/>
        </w:rPr>
        <w:t xml:space="preserve">[MEDIUM] </w:t>
      </w:r>
      <w:r>
        <w:t>1. QA bottleneck will worsen as deployment frequency increases — invest in test automation</w:t>
      </w:r>
    </w:p>
    <w:p>
      <w:pPr>
        <w:pStyle w:val="Heading3"/>
      </w:pPr>
      <w:r>
        <w:t>R&amp;D Spend Assessment (1 questions)</w:t>
      </w:r>
    </w:p>
    <w:p>
      <w:r>
        <w:rPr>
          <w:b/>
        </w:rPr>
        <w:t xml:space="preserve">[MEDIUM] </w:t>
      </w:r>
      <w:r>
        <w:t>1. Single-customer concentration above 20% is a yellow flag for PE — diversification plan needed</w:t>
      </w:r>
    </w:p>
    <w:p>
      <w:pPr>
        <w:pStyle w:val="Heading1"/>
      </w:pPr>
      <w:r>
        <w:t>Signal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Signal ID</w:t>
            </w:r>
          </w:p>
        </w:tc>
        <w:tc>
          <w:tcPr>
            <w:tcW w:type="dxa" w:w="1728"/>
          </w:tcPr>
          <w:p>
            <w:r>
              <w:rPr>
                <w:b/>
              </w:rPr>
              <w:t>Pillar</w:t>
            </w:r>
          </w:p>
        </w:tc>
        <w:tc>
          <w:tcPr>
            <w:tcW w:type="dxa" w:w="1728"/>
          </w:tcPr>
          <w:p>
            <w:r>
              <w:rPr>
                <w:b/>
              </w:rPr>
              <w:t>Rating</w:t>
            </w:r>
          </w:p>
        </w:tc>
        <w:tc>
          <w:tcPr>
            <w:tcW w:type="dxa" w:w="1728"/>
          </w:tcPr>
          <w:p>
            <w:r>
              <w:rPr>
                <w:b/>
              </w:rPr>
              <w:t>Title</w:t>
            </w:r>
          </w:p>
        </w:tc>
        <w:tc>
          <w:tcPr>
            <w:tcW w:type="dxa" w:w="1728"/>
          </w:tcPr>
          <w:p>
            <w:r>
              <w:rPr>
                <w:b/>
              </w:rPr>
              <w:t>Source</w:t>
            </w:r>
          </w:p>
        </w:tc>
      </w:tr>
      <w:tr>
        <w:tc>
          <w:tcPr>
            <w:tcW w:type="dxa" w:w="1728"/>
          </w:tcPr>
          <w:p>
            <w:r>
              <w:t>SIG-013</w:t>
            </w:r>
          </w:p>
        </w:tc>
        <w:tc>
          <w:tcPr>
            <w:tcW w:type="dxa" w:w="1728"/>
          </w:tcPr>
          <w:p>
            <w:r>
              <w:t>Infrastructure &amp; Deployment</w:t>
            </w:r>
          </w:p>
        </w:tc>
        <w:tc>
          <w:tcPr>
            <w:tcW w:type="dxa" w:w="1728"/>
          </w:tcPr>
          <w:p>
            <w:r>
              <w:t>RED</w:t>
            </w:r>
          </w:p>
        </w:tc>
        <w:tc>
          <w:tcPr>
            <w:tcW w:type="dxa" w:w="1728"/>
          </w:tcPr>
          <w:p>
            <w:r>
              <w:t>Single-region deployment with no DR plan</w:t>
            </w:r>
          </w:p>
        </w:tc>
        <w:tc>
          <w:tcPr>
            <w:tcW w:type="dxa" w:w="1728"/>
          </w:tcPr>
          <w:p>
            <w:r>
              <w:t>infra_topology.pdf</w:t>
            </w:r>
          </w:p>
        </w:tc>
      </w:tr>
      <w:tr>
        <w:tc>
          <w:tcPr>
            <w:tcW w:type="dxa" w:w="1728"/>
          </w:tcPr>
          <w:p>
            <w:r>
              <w:t>SIG-005</w:t>
            </w:r>
          </w:p>
        </w:tc>
        <w:tc>
          <w:tcPr>
            <w:tcW w:type="dxa" w:w="1728"/>
          </w:tcPr>
          <w:p>
            <w:r>
              <w:t>Security &amp; Compliance</w:t>
            </w:r>
          </w:p>
        </w:tc>
        <w:tc>
          <w:tcPr>
            <w:tcW w:type="dxa" w:w="1728"/>
          </w:tcPr>
          <w:p>
            <w:r>
              <w:t>RED</w:t>
            </w:r>
          </w:p>
        </w:tc>
        <w:tc>
          <w:tcPr>
            <w:tcW w:type="dxa" w:w="1728"/>
          </w:tcPr>
          <w:p>
            <w:r>
              <w:t>No SOC2 Type II certification</w:t>
            </w:r>
          </w:p>
        </w:tc>
        <w:tc>
          <w:tcPr>
            <w:tcW w:type="dxa" w:w="1728"/>
          </w:tcPr>
          <w:p>
            <w:r>
              <w:t>compliance_matrix.xlsx</w:t>
            </w:r>
          </w:p>
        </w:tc>
      </w:tr>
      <w:tr>
        <w:tc>
          <w:tcPr>
            <w:tcW w:type="dxa" w:w="1728"/>
          </w:tcPr>
          <w:p>
            <w:r>
              <w:t>SIG-006</w:t>
            </w:r>
          </w:p>
        </w:tc>
        <w:tc>
          <w:tcPr>
            <w:tcW w:type="dxa" w:w="1728"/>
          </w:tcPr>
          <w:p>
            <w:r>
              <w:t>Security &amp; Compliance</w:t>
            </w:r>
          </w:p>
        </w:tc>
        <w:tc>
          <w:tcPr>
            <w:tcW w:type="dxa" w:w="1728"/>
          </w:tcPr>
          <w:p>
            <w:r>
              <w:t>RED</w:t>
            </w:r>
          </w:p>
        </w:tc>
        <w:tc>
          <w:tcPr>
            <w:tcW w:type="dxa" w:w="1728"/>
          </w:tcPr>
          <w:p>
            <w:r>
              <w:t>PHI data breach in Q3 2025</w:t>
            </w:r>
          </w:p>
        </w:tc>
        <w:tc>
          <w:tcPr>
            <w:tcW w:type="dxa" w:w="1728"/>
          </w:tcPr>
          <w:p>
            <w:r>
              <w:t>incident_log.csv</w:t>
            </w:r>
          </w:p>
        </w:tc>
      </w:tr>
      <w:tr>
        <w:tc>
          <w:tcPr>
            <w:tcW w:type="dxa" w:w="1728"/>
          </w:tcPr>
          <w:p>
            <w:r>
              <w:t>SIG-003</w:t>
            </w:r>
          </w:p>
        </w:tc>
        <w:tc>
          <w:tcPr>
            <w:tcW w:type="dxa" w:w="1728"/>
          </w:tcPr>
          <w:p>
            <w:r>
              <w:t>Technology &amp; Architecture</w:t>
            </w:r>
          </w:p>
        </w:tc>
        <w:tc>
          <w:tcPr>
            <w:tcW w:type="dxa" w:w="1728"/>
          </w:tcPr>
          <w:p>
            <w:r>
              <w:t>RED</w:t>
            </w:r>
          </w:p>
        </w:tc>
        <w:tc>
          <w:tcPr>
            <w:tcW w:type="dxa" w:w="1728"/>
          </w:tcPr>
          <w:p>
            <w:r>
              <w:t>Legacy v1.x platform still serves largest customer</w:t>
            </w:r>
          </w:p>
        </w:tc>
        <w:tc>
          <w:tcPr>
            <w:tcW w:type="dxa" w:w="1728"/>
          </w:tcPr>
          <w:p>
            <w:r>
              <w:t>product_roadmap.docx</w:t>
            </w:r>
          </w:p>
        </w:tc>
      </w:tr>
      <w:tr>
        <w:tc>
          <w:tcPr>
            <w:tcW w:type="dxa" w:w="1728"/>
          </w:tcPr>
          <w:p>
            <w:r>
              <w:t>SIG-012</w:t>
            </w:r>
          </w:p>
        </w:tc>
        <w:tc>
          <w:tcPr>
            <w:tcW w:type="dxa" w:w="1728"/>
          </w:tcPr>
          <w:p>
            <w:r>
              <w:t>Infrastructure &amp; Deployment</w:t>
            </w:r>
          </w:p>
        </w:tc>
        <w:tc>
          <w:tcPr>
            <w:tcW w:type="dxa" w:w="1728"/>
          </w:tcPr>
          <w:p>
            <w:r>
              <w:t>YELLOW</w:t>
            </w:r>
          </w:p>
        </w:tc>
        <w:tc>
          <w:tcPr>
            <w:tcW w:type="dxa" w:w="1728"/>
          </w:tcPr>
          <w:p>
            <w:r>
              <w:t>AWS hosting costs growing 8% month-over-month</w:t>
            </w:r>
          </w:p>
        </w:tc>
        <w:tc>
          <w:tcPr>
            <w:tcW w:type="dxa" w:w="1728"/>
          </w:tcPr>
          <w:p>
            <w:r>
              <w:t>financial_model.xlsx</w:t>
            </w:r>
          </w:p>
        </w:tc>
      </w:tr>
      <w:tr>
        <w:tc>
          <w:tcPr>
            <w:tcW w:type="dxa" w:w="1728"/>
          </w:tcPr>
          <w:p>
            <w:r>
              <w:t>SIG-019</w:t>
            </w:r>
          </w:p>
        </w:tc>
        <w:tc>
          <w:tcPr>
            <w:tcW w:type="dxa" w:w="1728"/>
          </w:tcPr>
          <w:p>
            <w:r>
              <w:t>Infrastructure &amp; Deployment</w:t>
            </w:r>
          </w:p>
        </w:tc>
        <w:tc>
          <w:tcPr>
            <w:tcW w:type="dxa" w:w="1728"/>
          </w:tcPr>
          <w:p>
            <w:r>
              <w:t>YELLOW</w:t>
            </w:r>
          </w:p>
        </w:tc>
        <w:tc>
          <w:tcPr>
            <w:tcW w:type="dxa" w:w="1728"/>
          </w:tcPr>
          <w:p>
            <w:r>
              <w:t>CI/CD pipeline has no security scanning stage</w:t>
            </w:r>
          </w:p>
        </w:tc>
        <w:tc>
          <w:tcPr>
            <w:tcW w:type="dxa" w:w="1728"/>
          </w:tcPr>
          <w:p>
            <w:r>
              <w:t>infra_topology.pdf</w:t>
            </w:r>
          </w:p>
        </w:tc>
      </w:tr>
      <w:tr>
        <w:tc>
          <w:tcPr>
            <w:tcW w:type="dxa" w:w="1728"/>
          </w:tcPr>
          <w:p>
            <w:r>
              <w:t>SIG-008</w:t>
            </w:r>
          </w:p>
        </w:tc>
        <w:tc>
          <w:tcPr>
            <w:tcW w:type="dxa" w:w="1728"/>
          </w:tcPr>
          <w:p>
            <w:r>
              <w:t>Organization &amp; Talent</w:t>
            </w:r>
          </w:p>
        </w:tc>
        <w:tc>
          <w:tcPr>
            <w:tcW w:type="dxa" w:w="1728"/>
          </w:tcPr>
          <w:p>
            <w:r>
              <w:t>YELLOW</w:t>
            </w:r>
          </w:p>
        </w:tc>
        <w:tc>
          <w:tcPr>
            <w:tcW w:type="dxa" w:w="1728"/>
          </w:tcPr>
          <w:p>
            <w:r>
              <w:t>40% contractor ratio with backend concentration</w:t>
            </w:r>
          </w:p>
        </w:tc>
        <w:tc>
          <w:tcPr>
            <w:tcW w:type="dxa" w:w="1728"/>
          </w:tcPr>
          <w:p>
            <w:r>
              <w:t>org_chart.pptx</w:t>
            </w:r>
          </w:p>
        </w:tc>
      </w:tr>
      <w:tr>
        <w:tc>
          <w:tcPr>
            <w:tcW w:type="dxa" w:w="1728"/>
          </w:tcPr>
          <w:p>
            <w:r>
              <w:t>SIG-009</w:t>
            </w:r>
          </w:p>
        </w:tc>
        <w:tc>
          <w:tcPr>
            <w:tcW w:type="dxa" w:w="1728"/>
          </w:tcPr>
          <w:p>
            <w:r>
              <w:t>Organization &amp; Talent</w:t>
            </w:r>
          </w:p>
        </w:tc>
        <w:tc>
          <w:tcPr>
            <w:tcW w:type="dxa" w:w="1728"/>
          </w:tcPr>
          <w:p>
            <w:r>
              <w:t>YELLOW</w:t>
            </w:r>
          </w:p>
        </w:tc>
        <w:tc>
          <w:tcPr>
            <w:tcW w:type="dxa" w:w="1728"/>
          </w:tcPr>
          <w:p>
            <w:r>
              <w:t>CTO spans 7 direct report functions with no VP Engineering</w:t>
            </w:r>
          </w:p>
        </w:tc>
        <w:tc>
          <w:tcPr>
            <w:tcW w:type="dxa" w:w="1728"/>
          </w:tcPr>
          <w:p>
            <w:r>
              <w:t>org_chart.pptx</w:t>
            </w:r>
          </w:p>
        </w:tc>
      </w:tr>
      <w:tr>
        <w:tc>
          <w:tcPr>
            <w:tcW w:type="dxa" w:w="1728"/>
          </w:tcPr>
          <w:p>
            <w:r>
              <w:t>SIG-015</w:t>
            </w:r>
          </w:p>
        </w:tc>
        <w:tc>
          <w:tcPr>
            <w:tcW w:type="dxa" w:w="1728"/>
          </w:tcPr>
          <w:p>
            <w:r>
              <w:t>Organization &amp; Talent</w:t>
            </w:r>
          </w:p>
        </w:tc>
        <w:tc>
          <w:tcPr>
            <w:tcW w:type="dxa" w:w="1728"/>
          </w:tcPr>
          <w:p>
            <w:r>
              <w:t>YELLOW</w:t>
            </w:r>
          </w:p>
        </w:tc>
        <w:tc>
          <w:tcPr>
            <w:tcW w:type="dxa" w:w="1728"/>
          </w:tcPr>
          <w:p>
            <w:r>
              <w:t>No formal onboarding or knowledge management system</w:t>
            </w:r>
          </w:p>
        </w:tc>
        <w:tc>
          <w:tcPr>
            <w:tcW w:type="dxa" w:w="1728"/>
          </w:tcPr>
          <w:p>
            <w:r>
              <w:t>hr_summary.docx</w:t>
            </w:r>
          </w:p>
        </w:tc>
      </w:tr>
      <w:tr>
        <w:tc>
          <w:tcPr>
            <w:tcW w:type="dxa" w:w="1728"/>
          </w:tcPr>
          <w:p>
            <w:r>
              <w:t>SIG-018</w:t>
            </w:r>
          </w:p>
        </w:tc>
        <w:tc>
          <w:tcPr>
            <w:tcW w:type="dxa" w:w="1728"/>
          </w:tcPr>
          <w:p>
            <w:r>
              <w:t>R&amp;D Spend Assessment</w:t>
            </w:r>
          </w:p>
        </w:tc>
        <w:tc>
          <w:tcPr>
            <w:tcW w:type="dxa" w:w="1728"/>
          </w:tcPr>
          <w:p>
            <w:r>
              <w:t>YELLOW</w:t>
            </w:r>
          </w:p>
        </w:tc>
        <w:tc>
          <w:tcPr>
            <w:tcW w:type="dxa" w:w="1728"/>
          </w:tcPr>
          <w:p>
            <w:r>
              <w:t>Top customer at 22% of CARR creates revenue concentration risk</w:t>
            </w:r>
          </w:p>
        </w:tc>
        <w:tc>
          <w:tcPr>
            <w:tcW w:type="dxa" w:w="1728"/>
          </w:tcPr>
          <w:p>
            <w:r>
              <w:t>financial_model.xlsx</w:t>
            </w:r>
          </w:p>
        </w:tc>
      </w:tr>
      <w:tr>
        <w:tc>
          <w:tcPr>
            <w:tcW w:type="dxa" w:w="1728"/>
          </w:tcPr>
          <w:p>
            <w:r>
              <w:t>SIG-014</w:t>
            </w:r>
          </w:p>
        </w:tc>
        <w:tc>
          <w:tcPr>
            <w:tcW w:type="dxa" w:w="1728"/>
          </w:tcPr>
          <w:p>
            <w:r>
              <w:t>SDLC &amp; Product Management</w:t>
            </w:r>
          </w:p>
        </w:tc>
        <w:tc>
          <w:tcPr>
            <w:tcW w:type="dxa" w:w="1728"/>
          </w:tcPr>
          <w:p>
            <w:r>
              <w:t>YELLOW</w:t>
            </w:r>
          </w:p>
        </w:tc>
        <w:tc>
          <w:tcPr>
            <w:tcW w:type="dxa" w:w="1728"/>
          </w:tcPr>
          <w:p>
            <w:r>
              <w:t>QA team at 2 FTE for 15 deployments/month</w:t>
            </w:r>
          </w:p>
        </w:tc>
        <w:tc>
          <w:tcPr>
            <w:tcW w:type="dxa" w:w="1728"/>
          </w:tcPr>
          <w:p>
            <w:r>
              <w:t>product_roadmap.docx</w:t>
            </w:r>
          </w:p>
        </w:tc>
      </w:tr>
      <w:tr>
        <w:tc>
          <w:tcPr>
            <w:tcW w:type="dxa" w:w="1728"/>
          </w:tcPr>
          <w:p>
            <w:r>
              <w:t>SIG-007</w:t>
            </w:r>
          </w:p>
        </w:tc>
        <w:tc>
          <w:tcPr>
            <w:tcW w:type="dxa" w:w="1728"/>
          </w:tcPr>
          <w:p>
            <w:r>
              <w:t>Security &amp; Compliance</w:t>
            </w:r>
          </w:p>
        </w:tc>
        <w:tc>
          <w:tcPr>
            <w:tcW w:type="dxa" w:w="1728"/>
          </w:tcPr>
          <w:p>
            <w:r>
              <w:t>YELLOW</w:t>
            </w:r>
          </w:p>
        </w:tc>
        <w:tc>
          <w:tcPr>
            <w:tcW w:type="dxa" w:w="1728"/>
          </w:tcPr>
          <w:p>
            <w:r>
              <w:t>Penetration test findings open for 8 months</w:t>
            </w:r>
          </w:p>
        </w:tc>
        <w:tc>
          <w:tcPr>
            <w:tcW w:type="dxa" w:w="1728"/>
          </w:tcPr>
          <w:p>
            <w:r>
              <w:t>security_overview.pdf</w:t>
            </w:r>
          </w:p>
        </w:tc>
      </w:tr>
      <w:tr>
        <w:tc>
          <w:tcPr>
            <w:tcW w:type="dxa" w:w="1728"/>
          </w:tcPr>
          <w:p>
            <w:r>
              <w:t>SIG-017</w:t>
            </w:r>
          </w:p>
        </w:tc>
        <w:tc>
          <w:tcPr>
            <w:tcW w:type="dxa" w:w="1728"/>
          </w:tcPr>
          <w:p>
            <w:r>
              <w:t>Security &amp; Compliance</w:t>
            </w:r>
          </w:p>
        </w:tc>
        <w:tc>
          <w:tcPr>
            <w:tcW w:type="dxa" w:w="1728"/>
          </w:tcPr>
          <w:p>
            <w:r>
              <w:t>YELLOW</w:t>
            </w:r>
          </w:p>
        </w:tc>
        <w:tc>
          <w:tcPr>
            <w:tcW w:type="dxa" w:w="1728"/>
          </w:tcPr>
          <w:p>
            <w:r>
              <w:t>No SIEM or centralized security monitoring</w:t>
            </w:r>
          </w:p>
        </w:tc>
        <w:tc>
          <w:tcPr>
            <w:tcW w:type="dxa" w:w="1728"/>
          </w:tcPr>
          <w:p>
            <w:r>
              <w:t>security_overview.pdf</w:t>
            </w:r>
          </w:p>
        </w:tc>
      </w:tr>
      <w:tr>
        <w:tc>
          <w:tcPr>
            <w:tcW w:type="dxa" w:w="1728"/>
          </w:tcPr>
          <w:p>
            <w:r>
              <w:t>SIG-001</w:t>
            </w:r>
          </w:p>
        </w:tc>
        <w:tc>
          <w:tcPr>
            <w:tcW w:type="dxa" w:w="1728"/>
          </w:tcPr>
          <w:p>
            <w:r>
              <w:t>Technology &amp; Architecture</w:t>
            </w:r>
          </w:p>
        </w:tc>
        <w:tc>
          <w:tcPr>
            <w:tcW w:type="dxa" w:w="1728"/>
          </w:tcPr>
          <w:p>
            <w:r>
              <w:t>YELLOW</w:t>
            </w:r>
          </w:p>
        </w:tc>
        <w:tc>
          <w:tcPr>
            <w:tcW w:type="dxa" w:w="1728"/>
          </w:tcPr>
          <w:p>
            <w:r>
              <w:t>Monolithic architecture with horizontal scaling limits</w:t>
            </w:r>
          </w:p>
        </w:tc>
        <w:tc>
          <w:tcPr>
            <w:tcW w:type="dxa" w:w="1728"/>
          </w:tcPr>
          <w:p>
            <w:r>
              <w:t>architecture_overview.pdf</w:t>
            </w:r>
          </w:p>
        </w:tc>
      </w:tr>
      <w:tr>
        <w:tc>
          <w:tcPr>
            <w:tcW w:type="dxa" w:w="1728"/>
          </w:tcPr>
          <w:p>
            <w:r>
              <w:t>SIG-002</w:t>
            </w:r>
          </w:p>
        </w:tc>
        <w:tc>
          <w:tcPr>
            <w:tcW w:type="dxa" w:w="1728"/>
          </w:tcPr>
          <w:p>
            <w:r>
              <w:t>Technology &amp; Architecture</w:t>
            </w:r>
          </w:p>
        </w:tc>
        <w:tc>
          <w:tcPr>
            <w:tcW w:type="dxa" w:w="1728"/>
          </w:tcPr>
          <w:p>
            <w:r>
              <w:t>YELLOW</w:t>
            </w:r>
          </w:p>
        </w:tc>
        <w:tc>
          <w:tcPr>
            <w:tcW w:type="dxa" w:w="1728"/>
          </w:tcPr>
          <w:p>
            <w:r>
              <w:t>Technical debt backlog at 340 story points</w:t>
            </w:r>
          </w:p>
        </w:tc>
        <w:tc>
          <w:tcPr>
            <w:tcW w:type="dxa" w:w="1728"/>
          </w:tcPr>
          <w:p>
            <w:r>
              <w:t>architecture_overview.pdf</w:t>
            </w:r>
          </w:p>
        </w:tc>
      </w:tr>
      <w:tr>
        <w:tc>
          <w:tcPr>
            <w:tcW w:type="dxa" w:w="1728"/>
          </w:tcPr>
          <w:p>
            <w:r>
              <w:t>SIG-016</w:t>
            </w:r>
          </w:p>
        </w:tc>
        <w:tc>
          <w:tcPr>
            <w:tcW w:type="dxa" w:w="1728"/>
          </w:tcPr>
          <w:p>
            <w:r>
              <w:t>Data &amp; AI Readiness</w:t>
            </w:r>
          </w:p>
        </w:tc>
        <w:tc>
          <w:tcPr>
            <w:tcW w:type="dxa" w:w="1728"/>
          </w:tcPr>
          <w:p>
            <w:r>
              <w:t>GREEN</w:t>
            </w:r>
          </w:p>
        </w:tc>
        <w:tc>
          <w:tcPr>
            <w:tcW w:type="dxa" w:w="1728"/>
          </w:tcPr>
          <w:p>
            <w:r>
              <w:t>Well-architected ML pipeline for clinical predictions</w:t>
            </w:r>
          </w:p>
        </w:tc>
        <w:tc>
          <w:tcPr>
            <w:tcW w:type="dxa" w:w="1728"/>
          </w:tcPr>
          <w:p>
            <w:r>
              <w:t>architecture_overview.pdf</w:t>
            </w:r>
          </w:p>
        </w:tc>
      </w:tr>
      <w:tr>
        <w:tc>
          <w:tcPr>
            <w:tcW w:type="dxa" w:w="1728"/>
          </w:tcPr>
          <w:p>
            <w:r>
              <w:t>SIG-010</w:t>
            </w:r>
          </w:p>
        </w:tc>
        <w:tc>
          <w:tcPr>
            <w:tcW w:type="dxa" w:w="1728"/>
          </w:tcPr>
          <w:p>
            <w:r>
              <w:t>Organization &amp; Talent</w:t>
            </w:r>
          </w:p>
        </w:tc>
        <w:tc>
          <w:tcPr>
            <w:tcW w:type="dxa" w:w="1728"/>
          </w:tcPr>
          <w:p>
            <w:r>
              <w:t>GREEN</w:t>
            </w:r>
          </w:p>
        </w:tc>
        <w:tc>
          <w:tcPr>
            <w:tcW w:type="dxa" w:w="1728"/>
          </w:tcPr>
          <w:p>
            <w:r>
              <w:t>Engineering retention at 88% over 12 months</w:t>
            </w:r>
          </w:p>
        </w:tc>
        <w:tc>
          <w:tcPr>
            <w:tcW w:type="dxa" w:w="1728"/>
          </w:tcPr>
          <w:p>
            <w:r>
              <w:t>hr_summary.docx</w:t>
            </w:r>
          </w:p>
        </w:tc>
      </w:tr>
      <w:tr>
        <w:tc>
          <w:tcPr>
            <w:tcW w:type="dxa" w:w="1728"/>
          </w:tcPr>
          <w:p>
            <w:r>
              <w:t>SIG-011</w:t>
            </w:r>
          </w:p>
        </w:tc>
        <w:tc>
          <w:tcPr>
            <w:tcW w:type="dxa" w:w="1728"/>
          </w:tcPr>
          <w:p>
            <w:r>
              <w:t>R&amp;D Spend Assessment</w:t>
            </w:r>
          </w:p>
        </w:tc>
        <w:tc>
          <w:tcPr>
            <w:tcW w:type="dxa" w:w="1728"/>
          </w:tcPr>
          <w:p>
            <w:r>
              <w:t>GREEN</w:t>
            </w:r>
          </w:p>
        </w:tc>
        <w:tc>
          <w:tcPr>
            <w:tcW w:type="dxa" w:w="1728"/>
          </w:tcPr>
          <w:p>
            <w:r>
              <w:t>Strong R&amp;D investment at 45% of revenue</w:t>
            </w:r>
          </w:p>
        </w:tc>
        <w:tc>
          <w:tcPr>
            <w:tcW w:type="dxa" w:w="1728"/>
          </w:tcPr>
          <w:p>
            <w:r>
              <w:t>financial_model.xlsx</w:t>
            </w:r>
          </w:p>
        </w:tc>
      </w:tr>
      <w:tr>
        <w:tc>
          <w:tcPr>
            <w:tcW w:type="dxa" w:w="1728"/>
          </w:tcPr>
          <w:p>
            <w:r>
              <w:t>SIG-020</w:t>
            </w:r>
          </w:p>
        </w:tc>
        <w:tc>
          <w:tcPr>
            <w:tcW w:type="dxa" w:w="1728"/>
          </w:tcPr>
          <w:p>
            <w:r>
              <w:t>R&amp;D Spend Assessment</w:t>
            </w:r>
          </w:p>
        </w:tc>
        <w:tc>
          <w:tcPr>
            <w:tcW w:type="dxa" w:w="1728"/>
          </w:tcPr>
          <w:p>
            <w:r>
              <w:t>GREEN</w:t>
            </w:r>
          </w:p>
        </w:tc>
        <w:tc>
          <w:tcPr>
            <w:tcW w:type="dxa" w:w="1728"/>
          </w:tcPr>
          <w:p>
            <w:r>
              <w:t>Feature velocity at 12 releases per quarter</w:t>
            </w:r>
          </w:p>
        </w:tc>
        <w:tc>
          <w:tcPr>
            <w:tcW w:type="dxa" w:w="1728"/>
          </w:tcPr>
          <w:p>
            <w:r>
              <w:t>product_roadmap.docx</w:t>
            </w:r>
          </w:p>
        </w:tc>
      </w:tr>
      <w:tr>
        <w:tc>
          <w:tcPr>
            <w:tcW w:type="dxa" w:w="1728"/>
          </w:tcPr>
          <w:p>
            <w:r>
              <w:t>SIG-004</w:t>
            </w:r>
          </w:p>
        </w:tc>
        <w:tc>
          <w:tcPr>
            <w:tcW w:type="dxa" w:w="1728"/>
          </w:tcPr>
          <w:p>
            <w:r>
              <w:t>Technology &amp; Architecture</w:t>
            </w:r>
          </w:p>
        </w:tc>
        <w:tc>
          <w:tcPr>
            <w:tcW w:type="dxa" w:w="1728"/>
          </w:tcPr>
          <w:p>
            <w:r>
              <w:t>GREEN</w:t>
            </w:r>
          </w:p>
        </w:tc>
        <w:tc>
          <w:tcPr>
            <w:tcW w:type="dxa" w:w="1728"/>
          </w:tcPr>
          <w:p>
            <w:r>
              <w:t>Modern dev tooling stack with good coverage</w:t>
            </w:r>
          </w:p>
        </w:tc>
        <w:tc>
          <w:tcPr>
            <w:tcW w:type="dxa" w:w="1728"/>
          </w:tcPr>
          <w:p>
            <w:r>
              <w:t>architecture_overview.pdf</w:t>
            </w:r>
          </w:p>
        </w:tc>
      </w:tr>
    </w:tbl>
    <w:p>
      <w:pPr>
        <w:pStyle w:val="Heading1"/>
      </w:pPr>
      <w:r>
        <w:t>Appendix — Scan Metadata</w:t>
      </w:r>
    </w:p>
    <w:p>
      <w:pPr>
        <w:pStyle w:val="Heading2"/>
      </w:pPr>
      <w:r>
        <w:t>Scan History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Company</w:t>
            </w:r>
          </w:p>
        </w:tc>
        <w:tc>
          <w:tcPr>
            <w:tcW w:type="dxa" w:w="4320"/>
          </w:tcPr>
          <w:p>
            <w:r>
              <w:t>AcmeHealthTest</w:t>
            </w:r>
          </w:p>
        </w:tc>
      </w:tr>
      <w:tr>
        <w:tc>
          <w:tcPr>
            <w:tcW w:type="dxa" w:w="4320"/>
          </w:tcPr>
          <w:p>
            <w:r>
              <w:t>Deal ID</w:t>
            </w:r>
          </w:p>
        </w:tc>
        <w:tc>
          <w:tcPr>
            <w:tcW w:type="dxa" w:w="4320"/>
          </w:tcPr>
          <w:p>
            <w:r>
              <w:t>Project Jewel</w:t>
            </w:r>
          </w:p>
        </w:tc>
      </w:tr>
      <w:tr>
        <w:tc>
          <w:tcPr>
            <w:tcW w:type="dxa" w:w="4320"/>
          </w:tcPr>
          <w:p>
            <w:r>
              <w:t>Sector</w:t>
            </w:r>
          </w:p>
        </w:tc>
        <w:tc>
          <w:tcPr>
            <w:tcW w:type="dxa" w:w="4320"/>
          </w:tcPr>
          <w:p>
            <w:r>
              <w:t>Healthcare SaaS</w:t>
            </w:r>
          </w:p>
        </w:tc>
      </w:tr>
      <w:tr>
        <w:tc>
          <w:tcPr>
            <w:tcW w:type="dxa" w:w="4320"/>
          </w:tcPr>
          <w:p>
            <w:r>
              <w:t>Deal Type</w:t>
            </w:r>
          </w:p>
        </w:tc>
        <w:tc>
          <w:tcPr>
            <w:tcW w:type="dxa" w:w="4320"/>
          </w:tcPr>
          <w:p>
            <w:r>
              <w:t>pe-acquisition</w:t>
            </w:r>
          </w:p>
        </w:tc>
      </w:tr>
      <w:tr>
        <w:tc>
          <w:tcPr>
            <w:tcW w:type="dxa" w:w="4320"/>
          </w:tcPr>
          <w:p>
            <w:r>
              <w:t>Overall Rating</w:t>
            </w:r>
          </w:p>
        </w:tc>
        <w:tc>
          <w:tcPr>
            <w:tcW w:type="dxa" w:w="4320"/>
          </w:tcPr>
          <w:p>
            <w:r>
              <w:t>YELLOW</w:t>
            </w:r>
          </w:p>
        </w:tc>
      </w:tr>
      <w:tr>
        <w:tc>
          <w:tcPr>
            <w:tcW w:type="dxa" w:w="4320"/>
          </w:tcPr>
          <w:p>
            <w:r>
              <w:t>Total Signals</w:t>
            </w:r>
          </w:p>
        </w:tc>
        <w:tc>
          <w:tcPr>
            <w:tcW w:type="dxa" w:w="4320"/>
          </w:tcPr>
          <w:p>
            <w:r>
              <w:t>20</w:t>
            </w:r>
          </w:p>
        </w:tc>
      </w:tr>
      <w:tr>
        <w:tc>
          <w:tcPr>
            <w:tcW w:type="dxa" w:w="4320"/>
          </w:tcPr>
          <w:p>
            <w:r>
              <w:t>Scan Date</w:t>
            </w:r>
          </w:p>
        </w:tc>
        <w:tc>
          <w:tcPr>
            <w:tcW w:type="dxa" w:w="4320"/>
          </w:tcPr>
          <w:p>
            <w:r>
              <w:t>2026-04-08</w:t>
            </w:r>
          </w:p>
        </w:tc>
      </w:tr>
      <w:tr>
        <w:tc>
          <w:tcPr>
            <w:tcW w:type="dxa" w:w="4320"/>
          </w:tcPr>
          <w:p>
            <w:r>
              <w:t>Scan Mode</w:t>
            </w:r>
          </w:p>
        </w:tc>
        <w:tc>
          <w:tcPr>
            <w:tcW w:type="dxa" w:w="4320"/>
          </w:tcPr>
          <w:p>
            <w:r>
              <w:t>full</w:t>
            </w:r>
          </w:p>
        </w:tc>
      </w:tr>
      <w:tr>
        <w:tc>
          <w:tcPr>
            <w:tcW w:type="dxa" w:w="4320"/>
          </w:tcPr>
          <w:p>
            <w:r>
              <w:t>Documents Scanned</w:t>
            </w:r>
          </w:p>
        </w:tc>
        <w:tc>
          <w:tcPr>
            <w:tcW w:type="dxa" w:w="4320"/>
          </w:tcPr>
          <w:p>
            <w:r>
              <w:t>—</w:t>
            </w:r>
          </w:p>
        </w:tc>
      </w:tr>
      <w:tr>
        <w:tc>
          <w:tcPr>
            <w:tcW w:type="dxa" w:w="4320"/>
          </w:tcPr>
          <w:p>
            <w:r>
              <w:t>Batches Processed</w:t>
            </w:r>
          </w:p>
        </w:tc>
        <w:tc>
          <w:tcPr>
            <w:tcW w:type="dxa" w:w="4320"/>
          </w:tcPr>
          <w:p>
            <w:r>
              <w:t>—</w:t>
            </w:r>
          </w:p>
        </w:tc>
      </w:tr>
      <w:tr>
        <w:tc>
          <w:tcPr>
            <w:tcW w:type="dxa" w:w="4320"/>
          </w:tcPr>
          <w:p>
            <w:r>
              <w:t>Generated</w:t>
            </w:r>
          </w:p>
        </w:tc>
        <w:tc>
          <w:tcPr>
            <w:tcW w:type="dxa" w:w="4320"/>
          </w:tcPr>
          <w:p>
            <w:r>
              <w:t>2026-04-08 04:59 UTC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