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4"/>
        </w:rPr>
        <w:t>TECHNOLOGY DUE DILIGENCE</w:t>
      </w:r>
    </w:p>
    <w:p>
      <w:pPr>
        <w:jc w:val="center"/>
      </w:pPr>
      <w:r>
        <w:rPr>
          <w:color w:val="64748B"/>
          <w:sz w:val="28"/>
        </w:rPr>
        <w:t>VDR Scan Report</w:t>
      </w:r>
    </w:p>
    <w:p>
      <w:pPr>
        <w:jc w:val="center"/>
      </w:pPr>
      <w:r>
        <w:rPr>
          <w:color w:val="475569"/>
          <w:sz w:val="22"/>
        </w:rPr>
        <w:t>REPORT-TEST  ·  SaaS</w:t>
      </w:r>
    </w:p>
    <w:p>
      <w:pPr>
        <w:jc w:val="center"/>
      </w:pPr>
      <w:r>
        <w:rPr>
          <w:color w:val="94A3B8"/>
          <w:sz w:val="20"/>
        </w:rPr>
        <w:t>Scan Date: 2026-04-08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The target company shows moderate technical maturity with notable gaps in security compliance and infrastructure resilience. R&amp;D spend appears well-allocated but contractor dependency introduces key-person risk.</w:t>
      </w:r>
    </w:p>
    <w:p>
      <w:pPr>
        <w:pStyle w:val="Heading2"/>
      </w:pPr>
      <w:r>
        <w:t>Pillar Grades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Pillar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Signals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YELLOW</w:t>
            </w:r>
          </w:p>
        </w:tc>
      </w:tr>
      <w:tr>
        <w:tc>
          <w:tcPr>
            <w:tcW w:type="dxa" w:w="2160"/>
          </w:tcPr>
          <w:p>
            <w:r>
              <w:t>Technology &amp; Architecture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Security &amp; Compliance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Organization &amp; Talent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R&amp;D Spend Assessment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Infrastructure &amp; Deployment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Domain Analysis</w:t>
      </w:r>
    </w:p>
    <w:p>
      <w:pPr>
        <w:pStyle w:val="Heading2"/>
      </w:pPr>
      <w:r>
        <w:t>Security &amp; Compliance</w:t>
      </w:r>
    </w:p>
    <w:p>
      <w:r>
        <w:t>Signals: 1  |  RED: 1  |  YELLOW: 0</w:t>
      </w:r>
    </w:p>
    <w:p>
      <w:r>
        <w:rPr>
          <w:b/>
          <w:color w:val="DC2626"/>
        </w:rPr>
        <w:t xml:space="preserve">[RED] </w:t>
      </w:r>
      <w:r>
        <w:rPr>
          <w:b/>
        </w:rPr>
        <w:t>No SOC2 certification in place</w:t>
      </w:r>
    </w:p>
    <w:p>
      <w:r>
        <w:rPr>
          <w:b/>
          <w:sz w:val="18"/>
        </w:rPr>
        <w:t xml:space="preserve">Document: </w:t>
      </w:r>
      <w:r>
        <w:rPr>
          <w:sz w:val="18"/>
        </w:rPr>
        <w:t>compliance_matrix.xlsx</w:t>
      </w:r>
    </w:p>
    <w:p>
      <w:r>
        <w:rPr>
          <w:color w:val="94A3B8"/>
          <w:sz w:val="16"/>
        </w:rPr>
        <w:t>Confidence: 0.95</w:t>
      </w:r>
    </w:p>
    <w:p/>
    <w:p>
      <w:pPr>
        <w:pStyle w:val="Heading2"/>
      </w:pPr>
      <w:r>
        <w:t>Infrastructure &amp; Deployment</w:t>
      </w:r>
    </w:p>
    <w:p>
      <w:r>
        <w:t>Signals: 1  |  RED: 1  |  YELLOW: 0</w:t>
      </w:r>
    </w:p>
    <w:p>
      <w:r>
        <w:rPr>
          <w:b/>
          <w:color w:val="DC2626"/>
        </w:rPr>
        <w:t xml:space="preserve">[RED] </w:t>
      </w:r>
      <w:r>
        <w:rPr>
          <w:b/>
        </w:rPr>
        <w:t>No disaster recovery plan documented</w:t>
      </w:r>
    </w:p>
    <w:p>
      <w:r>
        <w:rPr>
          <w:b/>
          <w:sz w:val="18"/>
        </w:rPr>
        <w:t xml:space="preserve">Document: </w:t>
      </w:r>
      <w:r>
        <w:rPr>
          <w:sz w:val="18"/>
        </w:rPr>
        <w:t>gap_analysis.csv</w:t>
      </w:r>
    </w:p>
    <w:p>
      <w:r>
        <w:rPr>
          <w:color w:val="94A3B8"/>
          <w:sz w:val="16"/>
        </w:rPr>
        <w:t>Confidence: 0.9</w:t>
      </w:r>
    </w:p>
    <w:p/>
    <w:p>
      <w:pPr>
        <w:pStyle w:val="Heading2"/>
      </w:pPr>
      <w:r>
        <w:t>Technology &amp; Architecture</w:t>
      </w:r>
    </w:p>
    <w:p>
      <w:r>
        <w:t>Signals: 1  |  RED: 0  |  YELLOW: 1</w:t>
      </w:r>
    </w:p>
    <w:p>
      <w:r>
        <w:rPr>
          <w:b/>
          <w:color w:val="D97706"/>
        </w:rPr>
        <w:t xml:space="preserve">[YELLOW] </w:t>
      </w:r>
      <w:r>
        <w:rPr>
          <w:b/>
        </w:rPr>
        <w:t>Monolithic architecture with scaling limits</w:t>
      </w:r>
    </w:p>
    <w:p>
      <w:r>
        <w:rPr>
          <w:b/>
          <w:sz w:val="18"/>
        </w:rPr>
        <w:t xml:space="preserve">Document: </w:t>
      </w:r>
      <w:r>
        <w:rPr>
          <w:sz w:val="18"/>
        </w:rPr>
        <w:t>tech_overview.pdf</w:t>
      </w:r>
    </w:p>
    <w:p>
      <w:r>
        <w:rPr>
          <w:color w:val="94A3B8"/>
          <w:sz w:val="16"/>
        </w:rPr>
        <w:t>Confidence: 0.8</w:t>
      </w:r>
    </w:p>
    <w:p/>
    <w:p>
      <w:pPr>
        <w:pStyle w:val="Heading2"/>
      </w:pPr>
      <w:r>
        <w:t>Organization &amp; Talent</w:t>
      </w:r>
    </w:p>
    <w:p>
      <w:r>
        <w:t>Signals: 1  |  RED: 0  |  YELLOW: 1</w:t>
      </w:r>
    </w:p>
    <w:p>
      <w:r>
        <w:rPr>
          <w:b/>
          <w:color w:val="D97706"/>
        </w:rPr>
        <w:t xml:space="preserve">[YELLOW] </w:t>
      </w:r>
      <w:r>
        <w:rPr>
          <w:b/>
        </w:rPr>
        <w:t>High contractor dependency (40%)</w:t>
      </w:r>
    </w:p>
    <w:p>
      <w:r>
        <w:rPr>
          <w:b/>
          <w:sz w:val="18"/>
        </w:rPr>
        <w:t xml:space="preserve">Document: </w:t>
      </w:r>
      <w:r>
        <w:rPr>
          <w:sz w:val="18"/>
        </w:rPr>
        <w:t>org_chart.pptx</w:t>
      </w:r>
    </w:p>
    <w:p>
      <w:r>
        <w:rPr>
          <w:color w:val="94A3B8"/>
          <w:sz w:val="16"/>
        </w:rPr>
        <w:t>Confidence: 0.85</w:t>
      </w:r>
    </w:p>
    <w:p/>
    <w:p>
      <w:pPr>
        <w:pStyle w:val="Heading2"/>
      </w:pPr>
      <w:r>
        <w:t>R&amp;D Spend Assessment</w:t>
      </w:r>
    </w:p>
    <w:p>
      <w:r>
        <w:t>Signals: 1  |  RED: 0  |  YELLOW: 0</w:t>
      </w:r>
    </w:p>
    <w:p>
      <w:r>
        <w:rPr>
          <w:b/>
          <w:color w:val="16A34A"/>
        </w:rPr>
        <w:t xml:space="preserve">[GREEN] </w:t>
      </w:r>
      <w:r>
        <w:rPr>
          <w:b/>
        </w:rPr>
        <w:t>Strong R&amp;D investment at 45% revenue</w:t>
      </w:r>
    </w:p>
    <w:p>
      <w:r>
        <w:rPr>
          <w:b/>
          <w:sz w:val="18"/>
        </w:rPr>
        <w:t xml:space="preserve">Document: </w:t>
      </w:r>
      <w:r>
        <w:rPr>
          <w:sz w:val="18"/>
        </w:rPr>
        <w:t>financials_2025.xlsx</w:t>
      </w:r>
    </w:p>
    <w:p>
      <w:r>
        <w:rPr>
          <w:color w:val="94A3B8"/>
          <w:sz w:val="16"/>
        </w:rPr>
        <w:t>Confidence: 0.9</w:t>
      </w:r>
    </w:p>
    <w:p/>
    <w:p>
      <w:pPr>
        <w:pStyle w:val="Heading1"/>
      </w:pPr>
      <w:r>
        <w:t>Signal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Signal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Pillar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Infrastructure &amp; Deployment</w:t>
            </w:r>
          </w:p>
        </w:tc>
        <w:tc>
          <w:tcPr>
            <w:tcW w:type="dxa" w:w="1728"/>
          </w:tcPr>
          <w:p>
            <w:r>
              <w:t>RED</w:t>
            </w:r>
          </w:p>
        </w:tc>
        <w:tc>
          <w:tcPr>
            <w:tcW w:type="dxa" w:w="1728"/>
          </w:tcPr>
          <w:p>
            <w:r>
              <w:t>No disaster recovery plan documented</w:t>
            </w:r>
          </w:p>
        </w:tc>
        <w:tc>
          <w:tcPr>
            <w:tcW w:type="dxa" w:w="1728"/>
          </w:tcPr>
          <w:p>
            <w:r>
              <w:t>gap_analysis.csv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Security &amp; Compliance</w:t>
            </w:r>
          </w:p>
        </w:tc>
        <w:tc>
          <w:tcPr>
            <w:tcW w:type="dxa" w:w="1728"/>
          </w:tcPr>
          <w:p>
            <w:r>
              <w:t>RED</w:t>
            </w:r>
          </w:p>
        </w:tc>
        <w:tc>
          <w:tcPr>
            <w:tcW w:type="dxa" w:w="1728"/>
          </w:tcPr>
          <w:p>
            <w:r>
              <w:t>No SOC2 certification in place</w:t>
            </w:r>
          </w:p>
        </w:tc>
        <w:tc>
          <w:tcPr>
            <w:tcW w:type="dxa" w:w="1728"/>
          </w:tcPr>
          <w:p>
            <w:r>
              <w:t>compliance_matrix.xlsx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Organization &amp; Talent</w:t>
            </w:r>
          </w:p>
        </w:tc>
        <w:tc>
          <w:tcPr>
            <w:tcW w:type="dxa" w:w="1728"/>
          </w:tcPr>
          <w:p>
            <w:r>
              <w:t>YELLOW</w:t>
            </w:r>
          </w:p>
        </w:tc>
        <w:tc>
          <w:tcPr>
            <w:tcW w:type="dxa" w:w="1728"/>
          </w:tcPr>
          <w:p>
            <w:r>
              <w:t>High contractor dependency (40%)</w:t>
            </w:r>
          </w:p>
        </w:tc>
        <w:tc>
          <w:tcPr>
            <w:tcW w:type="dxa" w:w="1728"/>
          </w:tcPr>
          <w:p>
            <w:r>
              <w:t>org_chart.pptx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Technology &amp; Architecture</w:t>
            </w:r>
          </w:p>
        </w:tc>
        <w:tc>
          <w:tcPr>
            <w:tcW w:type="dxa" w:w="1728"/>
          </w:tcPr>
          <w:p>
            <w:r>
              <w:t>YELLOW</w:t>
            </w:r>
          </w:p>
        </w:tc>
        <w:tc>
          <w:tcPr>
            <w:tcW w:type="dxa" w:w="1728"/>
          </w:tcPr>
          <w:p>
            <w:r>
              <w:t>Monolithic architecture with scaling limits</w:t>
            </w:r>
          </w:p>
        </w:tc>
        <w:tc>
          <w:tcPr>
            <w:tcW w:type="dxa" w:w="1728"/>
          </w:tcPr>
          <w:p>
            <w:r>
              <w:t>tech_overview.pdf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R&amp;D Spend Assessment</w:t>
            </w:r>
          </w:p>
        </w:tc>
        <w:tc>
          <w:tcPr>
            <w:tcW w:type="dxa" w:w="1728"/>
          </w:tcPr>
          <w:p>
            <w:r>
              <w:t>GREEN</w:t>
            </w:r>
          </w:p>
        </w:tc>
        <w:tc>
          <w:tcPr>
            <w:tcW w:type="dxa" w:w="1728"/>
          </w:tcPr>
          <w:p>
            <w:r>
              <w:t>Strong R&amp;D investment at 45% revenue</w:t>
            </w:r>
          </w:p>
        </w:tc>
        <w:tc>
          <w:tcPr>
            <w:tcW w:type="dxa" w:w="1728"/>
          </w:tcPr>
          <w:p>
            <w:r>
              <w:t>financials_2025.xlsx</w:t>
            </w:r>
          </w:p>
        </w:tc>
      </w:tr>
    </w:tbl>
    <w:p>
      <w:pPr>
        <w:pStyle w:val="Heading1"/>
      </w:pPr>
      <w:r>
        <w:t>Appendix — Scan Metadata</w:t>
      </w:r>
    </w:p>
    <w:p>
      <w:pPr>
        <w:pStyle w:val="Heading2"/>
      </w:pPr>
      <w:r>
        <w:t>Scan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TestReportGen</w:t>
            </w:r>
          </w:p>
        </w:tc>
      </w:tr>
      <w:tr>
        <w:tc>
          <w:tcPr>
            <w:tcW w:type="dxa" w:w="4320"/>
          </w:tcPr>
          <w:p>
            <w:r>
              <w:t>Deal ID</w:t>
            </w:r>
          </w:p>
        </w:tc>
        <w:tc>
          <w:tcPr>
            <w:tcW w:type="dxa" w:w="4320"/>
          </w:tcPr>
          <w:p>
            <w:r>
              <w:t>REPORT-TEST</w:t>
            </w:r>
          </w:p>
        </w:tc>
      </w:tr>
      <w:tr>
        <w:tc>
          <w:tcPr>
            <w:tcW w:type="dxa" w:w="4320"/>
          </w:tcPr>
          <w:p>
            <w:r>
              <w:t>Sector</w:t>
            </w:r>
          </w:p>
        </w:tc>
        <w:tc>
          <w:tcPr>
            <w:tcW w:type="dxa" w:w="4320"/>
          </w:tcPr>
          <w:p>
            <w:r>
              <w:t>SaaS</w:t>
            </w:r>
          </w:p>
        </w:tc>
      </w:tr>
      <w:tr>
        <w:tc>
          <w:tcPr>
            <w:tcW w:type="dxa" w:w="4320"/>
          </w:tcPr>
          <w:p>
            <w:r>
              <w:t>Deal Type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Overall Rating</w:t>
            </w:r>
          </w:p>
        </w:tc>
        <w:tc>
          <w:tcPr>
            <w:tcW w:type="dxa" w:w="4320"/>
          </w:tcPr>
          <w:p>
            <w:r>
              <w:t>YELLOW</w:t>
            </w:r>
          </w:p>
        </w:tc>
      </w:tr>
      <w:tr>
        <w:tc>
          <w:tcPr>
            <w:tcW w:type="dxa" w:w="4320"/>
          </w:tcPr>
          <w:p>
            <w:r>
              <w:t>Total Signals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Scan Date</w:t>
            </w:r>
          </w:p>
        </w:tc>
        <w:tc>
          <w:tcPr>
            <w:tcW w:type="dxa" w:w="4320"/>
          </w:tcPr>
          <w:p>
            <w:r>
              <w:t>2026-04-08</w:t>
            </w:r>
          </w:p>
        </w:tc>
      </w:tr>
      <w:tr>
        <w:tc>
          <w:tcPr>
            <w:tcW w:type="dxa" w:w="4320"/>
          </w:tcPr>
          <w:p>
            <w:r>
              <w:t>Scan Mode</w:t>
            </w:r>
          </w:p>
        </w:tc>
        <w:tc>
          <w:tcPr>
            <w:tcW w:type="dxa" w:w="4320"/>
          </w:tcPr>
          <w:p>
            <w:r>
              <w:t>full</w:t>
            </w:r>
          </w:p>
        </w:tc>
      </w:tr>
      <w:tr>
        <w:tc>
          <w:tcPr>
            <w:tcW w:type="dxa" w:w="4320"/>
          </w:tcPr>
          <w:p>
            <w:r>
              <w:t>Documents Scanned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Batches Processed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Generated</w:t>
            </w:r>
          </w:p>
        </w:tc>
        <w:tc>
          <w:tcPr>
            <w:tcW w:type="dxa" w:w="4320"/>
          </w:tcPr>
          <w:p>
            <w:r>
              <w:t>2026-04-08 04:53 UTC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