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Noto Sans CJK KR" w:hAnsi="Noto Sans CJK KR" w:eastAsia="Noto Sans CJK KR"/>
          <w:b/>
          <w:color w:val="1D375C"/>
          <w:sz w:val="44"/>
        </w:rPr>
        <w:t>AI 에이전트 하네스 전략</w:t>
      </w:r>
    </w:p>
    <w:p>
      <w:pPr>
        <w:spacing w:after="240"/>
      </w:pPr>
      <w:r>
        <w:rPr>
          <w:rFonts w:ascii="Noto Sans CJK KR" w:hAnsi="Noto Sans CJK KR" w:eastAsia="Noto Sans CJK KR"/>
          <w:b w:val="0"/>
          <w:color w:val="5F5F5F"/>
          <w:sz w:val="21"/>
        </w:rPr>
        <w:t>에이전트가 "잘 판단하고, 멈추고, 실패를 복구하고, 비용과 속도를 통제"하도록 만드는 제어 계층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Noto Sans CJK KR" w:hAnsi="Noto Sans CJK KR" w:eastAsia="Noto Sans CJK KR"/>
                <w:b/>
                <w:color w:val="1D375C"/>
                <w:sz w:val="21"/>
              </w:rPr>
              <w:t>하네스(Harness) = LLM이나 에이전트 자체가 아니라, 그 주변에서 입력·도구·반복·예외·비용·속도·권한을 통제하는 운영 로직.</w:t>
            </w:r>
          </w:p>
        </w:tc>
      </w:tr>
    </w:tbl>
    <w:p/>
    <w:p>
      <w:pPr>
        <w:pStyle w:val="Heading1"/>
        <w:spacing w:after="120" w:line="300" w:lineRule="auto"/>
      </w:pPr>
      <w:r>
        <w:rPr>
          <w:rFonts w:ascii="Noto Sans CJK KR" w:hAnsi="Noto Sans CJK KR" w:eastAsia="Noto Sans CJK KR"/>
          <w:color w:val="1D375C"/>
          <w:sz w:val="30"/>
        </w:rPr>
        <w:t>1. 하네스의 목적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에이전트가 잘못된 도구를 호출하거나 실패했을 때 프로그램 전체가 무너지지 않게 한다.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도구 호출이 반복되며 무한루프에 빠지는 것을 막는다.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애매한 질문을 바로 LLM에 던지지 않고 검색·RAG·재질문 등 적절한 경로로 보낸다.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비싼 모델과 긴 컨텍스트 사용을 제한해 비용을 통제한다.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불필요한 순차 호출을 줄여 응답 시간을 관리한다.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결제·삭제·재시작 같은 위험한 행동은 사용자 확인이나 권한 검사를 거치게 한다.</w:t>
      </w:r>
    </w:p>
    <w:p>
      <w:pPr>
        <w:pStyle w:val="Heading1"/>
        <w:spacing w:after="120" w:line="300" w:lineRule="auto"/>
      </w:pPr>
      <w:r>
        <w:rPr>
          <w:rFonts w:ascii="Noto Sans CJK KR" w:hAnsi="Noto Sans CJK KR" w:eastAsia="Noto Sans CJK KR"/>
          <w:color w:val="1D375C"/>
          <w:sz w:val="30"/>
        </w:rPr>
        <w:t>2. 핵심 하네스 전략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shd w:fill="D9E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D375C"/>
                <w:sz w:val="20"/>
              </w:rPr>
              <w:t>전략</w:t>
            </w:r>
          </w:p>
        </w:tc>
        <w:tc>
          <w:tcPr>
            <w:tcW w:type="dxa" w:w="6917"/>
            <w:shd w:fill="D9E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D375C"/>
                <w:sz w:val="20"/>
              </w:rPr>
              <w:t>핵심 내용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2D2D2D"/>
                <w:sz w:val="19"/>
              </w:rPr>
              <w:t>입력 정규화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2D2D2D"/>
                <w:sz w:val="19"/>
              </w:rPr>
              <w:t>오타·동의어·표현 차이를 표준화하고, 질문 의도가 불명확하면 재질문 또는 RAG 검색으로 보낸다.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2D2D2D"/>
                <w:sz w:val="19"/>
              </w:rPr>
              <w:t>모델 라우팅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2D2D2D"/>
                <w:sz w:val="19"/>
              </w:rPr>
              <w:t>단순 분류·요약은 작은 모델, 복잡한 추론만 고성능 모델을 사용한다.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2D2D2D"/>
                <w:sz w:val="19"/>
              </w:rPr>
              <w:t>컨텍스트 제어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2D2D2D"/>
                <w:sz w:val="19"/>
              </w:rPr>
              <w:t>대화 전체와 문서 전체를 넣지 않고, 필요한 히스토리·검색 결과·도구 결과만 전달한다.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2D2D2D"/>
                <w:sz w:val="19"/>
              </w:rPr>
              <w:t>Tool 정책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2D2D2D"/>
                <w:sz w:val="19"/>
              </w:rPr>
              <w:t>허용된 도구만 노출하고, 입력 스키마·권한·실행 조건을 검증한다.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2D2D2D"/>
                <w:sz w:val="19"/>
              </w:rPr>
              <w:t>반복 제한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2D2D2D"/>
                <w:sz w:val="19"/>
              </w:rPr>
              <w:t>MAX_STEPS, timeout, 동일 Tool 반복 감지 등으로 무한루프를 차단한다.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2D2D2D"/>
                <w:sz w:val="19"/>
              </w:rPr>
              <w:t>예외·Fallback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2D2D2D"/>
                <w:sz w:val="19"/>
              </w:rPr>
              <w:t>API 실패 시 재시도 횟수, 대체 경로, 사용자 안내 등 실패 시나리오를 미리 정한다.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2D2D2D"/>
                <w:sz w:val="19"/>
              </w:rPr>
              <w:t>캐시·재사용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2D2D2D"/>
                <w:sz w:val="19"/>
              </w:rPr>
              <w:t>동일/유사 질문, 검색 결과, 고정 프롬프트 등을 재사용해 LLM 호출과 토큰을 줄인다.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2D2D2D"/>
                <w:sz w:val="19"/>
              </w:rPr>
              <w:t>Human-in-the-loop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2D2D2D"/>
                <w:sz w:val="19"/>
              </w:rPr>
              <w:t>결제·삭제·배포·재시작처럼 영향이 큰 작업은 실행 전 사용자의 명시적 확인을 받는다.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2D2D2D"/>
                <w:sz w:val="19"/>
              </w:rPr>
              <w:t>관찰·기록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2D2D2D"/>
                <w:sz w:val="19"/>
              </w:rPr>
              <w:t>어떤 모델과 Tool이 몇 번 호출됐는지, 실패 이유와 비용·지연시간을 기록한다.</w:t>
            </w:r>
          </w:p>
        </w:tc>
      </w:tr>
    </w:tbl>
    <w:p>
      <w:pPr>
        <w:spacing w:after="40"/>
      </w:pPr>
    </w:p>
    <w:p>
      <w:pPr>
        <w:pStyle w:val="Heading1"/>
        <w:spacing w:after="120" w:line="300" w:lineRule="auto"/>
      </w:pPr>
      <w:r>
        <w:rPr>
          <w:rFonts w:ascii="Noto Sans CJK KR" w:hAnsi="Noto Sans CJK KR" w:eastAsia="Noto Sans CJK KR"/>
          <w:color w:val="1D375C"/>
          <w:sz w:val="30"/>
        </w:rPr>
        <w:t>3. 하네스가 제어하는 전체 흐름</w:t>
      </w:r>
    </w:p>
    <w:p>
      <w:pPr>
        <w:spacing w:after="40"/>
        <w:ind w:left="227"/>
      </w:pPr>
      <w:r>
        <w:rPr>
          <w:rFonts w:ascii="Noto Sans CJK KR" w:hAnsi="Noto Sans CJK KR" w:eastAsia="Noto Sans CJK KR"/>
          <w:b w:val="0"/>
          <w:color w:val="282828"/>
          <w:sz w:val="21"/>
        </w:rPr>
        <w:t>01  사용자 입력</w:t>
      </w:r>
    </w:p>
    <w:p>
      <w:pPr>
        <w:spacing w:after="20"/>
        <w:ind w:left="680"/>
        <w:jc w:val="left"/>
      </w:pPr>
      <w:r>
        <w:rPr>
          <w:rFonts w:ascii="Noto Sans CJK KR" w:hAnsi="Noto Sans CJK KR" w:eastAsia="Noto Sans CJK KR"/>
          <w:b w:val="0"/>
          <w:color w:val="787878"/>
          <w:sz w:val="18"/>
        </w:rPr>
        <w:t>↓</w:t>
      </w:r>
    </w:p>
    <w:p>
      <w:pPr>
        <w:spacing w:after="40"/>
        <w:ind w:left="227"/>
      </w:pPr>
      <w:r>
        <w:rPr>
          <w:rFonts w:ascii="Noto Sans CJK KR" w:hAnsi="Noto Sans CJK KR" w:eastAsia="Noto Sans CJK KR"/>
          <w:b/>
          <w:color w:val="282828"/>
          <w:sz w:val="21"/>
        </w:rPr>
        <w:t>02  입력 정규화 / 의도 확인</w:t>
      </w:r>
    </w:p>
    <w:p>
      <w:pPr>
        <w:spacing w:after="20"/>
        <w:ind w:left="680"/>
        <w:jc w:val="left"/>
      </w:pPr>
      <w:r>
        <w:rPr>
          <w:rFonts w:ascii="Noto Sans CJK KR" w:hAnsi="Noto Sans CJK KR" w:eastAsia="Noto Sans CJK KR"/>
          <w:b w:val="0"/>
          <w:color w:val="787878"/>
          <w:sz w:val="18"/>
        </w:rPr>
        <w:t>↓</w:t>
      </w:r>
    </w:p>
    <w:p>
      <w:pPr>
        <w:spacing w:after="40"/>
        <w:ind w:left="227"/>
      </w:pPr>
      <w:r>
        <w:rPr>
          <w:rFonts w:ascii="Noto Sans CJK KR" w:hAnsi="Noto Sans CJK KR" w:eastAsia="Noto Sans CJK KR"/>
          <w:b w:val="0"/>
          <w:color w:val="282828"/>
          <w:sz w:val="21"/>
        </w:rPr>
        <w:t>03  캐시 확인 또는 RAG 검색</w:t>
      </w:r>
    </w:p>
    <w:p>
      <w:pPr>
        <w:spacing w:after="20"/>
        <w:ind w:left="680"/>
        <w:jc w:val="left"/>
      </w:pPr>
      <w:r>
        <w:rPr>
          <w:rFonts w:ascii="Noto Sans CJK KR" w:hAnsi="Noto Sans CJK KR" w:eastAsia="Noto Sans CJK KR"/>
          <w:b w:val="0"/>
          <w:color w:val="787878"/>
          <w:sz w:val="18"/>
        </w:rPr>
        <w:t>↓</w:t>
      </w:r>
    </w:p>
    <w:p>
      <w:pPr>
        <w:spacing w:after="40"/>
        <w:ind w:left="227"/>
      </w:pPr>
      <w:r>
        <w:rPr>
          <w:rFonts w:ascii="Noto Sans CJK KR" w:hAnsi="Noto Sans CJK KR" w:eastAsia="Noto Sans CJK KR"/>
          <w:b w:val="0"/>
          <w:color w:val="282828"/>
          <w:sz w:val="21"/>
        </w:rPr>
        <w:t>04  모델 선택</w:t>
      </w:r>
    </w:p>
    <w:p>
      <w:pPr>
        <w:spacing w:after="20"/>
        <w:ind w:left="680"/>
        <w:jc w:val="left"/>
      </w:pPr>
      <w:r>
        <w:rPr>
          <w:rFonts w:ascii="Noto Sans CJK KR" w:hAnsi="Noto Sans CJK KR" w:eastAsia="Noto Sans CJK KR"/>
          <w:b w:val="0"/>
          <w:color w:val="787878"/>
          <w:sz w:val="18"/>
        </w:rPr>
        <w:t>↓</w:t>
      </w:r>
    </w:p>
    <w:p>
      <w:pPr>
        <w:spacing w:after="40"/>
        <w:ind w:left="227"/>
      </w:pPr>
      <w:r>
        <w:rPr>
          <w:rFonts w:ascii="Noto Sans CJK KR" w:hAnsi="Noto Sans CJK KR" w:eastAsia="Noto Sans CJK KR"/>
          <w:b w:val="0"/>
          <w:color w:val="282828"/>
          <w:sz w:val="21"/>
        </w:rPr>
        <w:t>05  LLM 판단</w:t>
      </w:r>
    </w:p>
    <w:p>
      <w:pPr>
        <w:spacing w:after="20"/>
        <w:ind w:left="680"/>
        <w:jc w:val="left"/>
      </w:pPr>
      <w:r>
        <w:rPr>
          <w:rFonts w:ascii="Noto Sans CJK KR" w:hAnsi="Noto Sans CJK KR" w:eastAsia="Noto Sans CJK KR"/>
          <w:b w:val="0"/>
          <w:color w:val="787878"/>
          <w:sz w:val="18"/>
        </w:rPr>
        <w:t>↓</w:t>
      </w:r>
    </w:p>
    <w:p>
      <w:pPr>
        <w:spacing w:after="40"/>
        <w:ind w:left="227"/>
      </w:pPr>
      <w:r>
        <w:rPr>
          <w:rFonts w:ascii="Noto Sans CJK KR" w:hAnsi="Noto Sans CJK KR" w:eastAsia="Noto Sans CJK KR"/>
          <w:b/>
          <w:color w:val="282828"/>
          <w:sz w:val="21"/>
        </w:rPr>
        <w:t>06  Tool 호출 전 검증</w:t>
      </w:r>
    </w:p>
    <w:p>
      <w:pPr>
        <w:spacing w:after="20"/>
        <w:ind w:left="680"/>
        <w:jc w:val="left"/>
      </w:pPr>
      <w:r>
        <w:rPr>
          <w:rFonts w:ascii="Noto Sans CJK KR" w:hAnsi="Noto Sans CJK KR" w:eastAsia="Noto Sans CJK KR"/>
          <w:b w:val="0"/>
          <w:color w:val="787878"/>
          <w:sz w:val="18"/>
        </w:rPr>
        <w:t>↓</w:t>
      </w:r>
    </w:p>
    <w:p>
      <w:pPr>
        <w:spacing w:after="40"/>
        <w:ind w:left="227"/>
      </w:pPr>
      <w:r>
        <w:rPr>
          <w:rFonts w:ascii="Noto Sans CJK KR" w:hAnsi="Noto Sans CJK KR" w:eastAsia="Noto Sans CJK KR"/>
          <w:b w:val="0"/>
          <w:color w:val="282828"/>
          <w:sz w:val="21"/>
        </w:rPr>
        <w:t>07  tool 실행 및 예외 처리</w:t>
      </w:r>
    </w:p>
    <w:p>
      <w:pPr>
        <w:spacing w:after="20"/>
        <w:ind w:left="680"/>
        <w:jc w:val="left"/>
      </w:pPr>
      <w:r>
        <w:rPr>
          <w:rFonts w:ascii="Noto Sans CJK KR" w:hAnsi="Noto Sans CJK KR" w:eastAsia="Noto Sans CJK KR"/>
          <w:b w:val="0"/>
          <w:color w:val="787878"/>
          <w:sz w:val="18"/>
        </w:rPr>
        <w:t>↓</w:t>
      </w:r>
    </w:p>
    <w:p>
      <w:pPr>
        <w:spacing w:after="40"/>
        <w:ind w:left="227"/>
      </w:pPr>
      <w:r>
        <w:rPr>
          <w:rFonts w:ascii="Noto Sans CJK KR" w:hAnsi="Noto Sans CJK KR" w:eastAsia="Noto Sans CJK KR"/>
          <w:b/>
          <w:color w:val="282828"/>
          <w:sz w:val="21"/>
        </w:rPr>
        <w:t>08  반복 횟수·비용·시간 검사</w:t>
      </w:r>
    </w:p>
    <w:p>
      <w:pPr>
        <w:spacing w:after="20"/>
        <w:ind w:left="680"/>
        <w:jc w:val="left"/>
      </w:pPr>
      <w:r>
        <w:rPr>
          <w:rFonts w:ascii="Noto Sans CJK KR" w:hAnsi="Noto Sans CJK KR" w:eastAsia="Noto Sans CJK KR"/>
          <w:b w:val="0"/>
          <w:color w:val="787878"/>
          <w:sz w:val="18"/>
        </w:rPr>
        <w:t>↓</w:t>
      </w:r>
    </w:p>
    <w:p>
      <w:pPr>
        <w:spacing w:after="40"/>
        <w:ind w:left="227"/>
      </w:pPr>
      <w:r>
        <w:rPr>
          <w:rFonts w:ascii="Noto Sans CJK KR" w:hAnsi="Noto Sans CJK KR" w:eastAsia="Noto Sans CJK KR"/>
          <w:b/>
          <w:color w:val="282828"/>
          <w:sz w:val="21"/>
        </w:rPr>
        <w:t>09  필요 시 사용자 확인</w:t>
      </w:r>
    </w:p>
    <w:p>
      <w:pPr>
        <w:spacing w:after="20"/>
        <w:ind w:left="680"/>
        <w:jc w:val="left"/>
      </w:pPr>
      <w:r>
        <w:rPr>
          <w:rFonts w:ascii="Noto Sans CJK KR" w:hAnsi="Noto Sans CJK KR" w:eastAsia="Noto Sans CJK KR"/>
          <w:b w:val="0"/>
          <w:color w:val="787878"/>
          <w:sz w:val="18"/>
        </w:rPr>
        <w:t>↓</w:t>
      </w:r>
    </w:p>
    <w:p>
      <w:pPr>
        <w:spacing w:after="40"/>
        <w:ind w:left="227"/>
      </w:pPr>
      <w:r>
        <w:rPr>
          <w:rFonts w:ascii="Noto Sans CJK KR" w:hAnsi="Noto Sans CJK KR" w:eastAsia="Noto Sans CJK KR"/>
          <w:b w:val="0"/>
          <w:color w:val="282828"/>
          <w:sz w:val="21"/>
        </w:rPr>
        <w:t>10  최종 응답 및 로그 기록</w:t>
      </w:r>
    </w:p>
    <w:p>
      <w:pPr>
        <w:pStyle w:val="Heading1"/>
        <w:spacing w:after="120" w:line="300" w:lineRule="auto"/>
      </w:pPr>
      <w:r>
        <w:rPr>
          <w:rFonts w:ascii="Noto Sans CJK KR" w:hAnsi="Noto Sans CJK KR" w:eastAsia="Noto Sans CJK KR"/>
          <w:color w:val="1D375C"/>
          <w:sz w:val="30"/>
        </w:rPr>
        <w:t>4. 설계할 때 먼저 결정할 것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에이전트가 최대 몇 단계까지 행동할 수 있는가?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Tool 실패 시 몇 번 재시도하고, 언제 포기할 것인가?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질문이 애매할 때 검색할 것인가, 사용자에게 다시 물을 것인가?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어떤 질문까지 작은 모델이나 일반 코드로 처리할 것인가?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어떤 데이터는 캐시해도 되고, 얼마 동안 유효한가?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어떤 행동은 사용자 승인 없이는 실행하면 안 되는가?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허용 가능한 최대 비용·응답 시간은 얼마인가?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282828"/>
          <w:sz w:val="21"/>
        </w:rPr>
        <w:t>실패·비용·지연을 어떤 로그로 남길 것인가?</w:t>
      </w:r>
    </w:p>
    <w:p>
      <w:pPr>
        <w:pStyle w:val="Heading1"/>
        <w:spacing w:after="120" w:line="300" w:lineRule="auto"/>
      </w:pPr>
      <w:r>
        <w:rPr>
          <w:rFonts w:ascii="Noto Sans CJK KR" w:hAnsi="Noto Sans CJK KR" w:eastAsia="Noto Sans CJK KR"/>
          <w:color w:val="1D375C"/>
          <w:sz w:val="30"/>
        </w:rPr>
        <w:t>5. 한 줄 정리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312" w:lineRule="auto"/>
            </w:pPr>
            <w:r>
              <w:rPr>
                <w:rFonts w:ascii="Noto Sans CJK KR" w:hAnsi="Noto Sans CJK KR" w:eastAsia="Noto Sans CJK KR"/>
                <w:b/>
                <w:color w:val="232323"/>
                <w:sz w:val="22"/>
              </w:rPr>
              <w:t>에이전트 하네스 전략은 “AI에게 무엇을 시킬까”보다 “언제 AI를 쓰고, 무엇을 허용하고, 언제 멈추고, 실패하면 어떻게 복구할지”를 설계하는 것이다.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에이전트 하네스 전략</dc:title>
  <dc:subject>AI Agent Harness Strategy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