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 w:eastAsia="PingFang SC"/>
          <w:b/>
          <w:color w:val="0B2545"/>
          <w:sz w:val="40"/>
        </w:rPr>
        <w:t>广州鸡类餐饮 POI 分类口径说明</w:t>
      </w:r>
    </w:p>
    <w:p>
      <w:pPr>
        <w:spacing w:before="0" w:after="200" w:line="300" w:lineRule="auto"/>
        <w:jc w:val="left"/>
      </w:pPr>
      <w:r>
        <w:rPr>
          <w:rFonts w:ascii="Calibri" w:hAnsi="Calibri" w:eastAsia="PingFang SC"/>
          <w:sz w:val="22"/>
        </w:rPr>
        <w:t>适用文件：spike/out_delivery/poi_clean.csv 与 poi_clean.geojson</w:t>
      </w:r>
    </w:p>
    <w:p>
      <w:pPr>
        <w:spacing w:before="320" w:after="160"/>
      </w:pPr>
      <w:r>
        <w:rPr>
          <w:rFonts w:ascii="Calibri" w:hAnsi="Calibri" w:eastAsia="PingFang SC"/>
          <w:b/>
          <w:color w:val="1F4D78"/>
          <w:sz w:val="28"/>
        </w:rPr>
        <w:t xml:space="preserve">1. </w:t>
      </w:r>
      <w:r>
        <w:rPr>
          <w:rFonts w:ascii="Calibri" w:hAnsi="Calibri" w:eastAsia="PingFang SC"/>
          <w:b w:val="0"/>
          <w:color w:val="1F4D78"/>
          <w:sz w:val="28"/>
        </w:rPr>
        <w:t>口径定位</w:t>
      </w:r>
    </w:p>
    <w:p>
      <w:pPr>
        <w:spacing w:before="0" w:after="120" w:line="300" w:lineRule="auto"/>
        <w:jc w:val="left"/>
      </w:pPr>
      <w:r>
        <w:rPr>
          <w:rFonts w:ascii="Calibri" w:hAnsi="Calibri" w:eastAsia="PingFang SC"/>
          <w:sz w:val="22"/>
        </w:rPr>
        <w:t>本说明用于统一第四章“广州样本”中鸡类餐饮 POI 的分类口径。分类对象不是整家店的菜系，而是该 POI 的店名、推荐菜或标签中被识别出来的鸡类菜品信号。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研究目标：观察鸡文化在广州现代餐饮空间中的可见度、隐性渗透和传统/现代分化。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主数据：清洗后的高德 POI，正式交付目录为 spike/out_delivery/。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解释边界：本数据不等同于居民实际吃鸡消费量、订单量或营业额。</w:t>
      </w:r>
    </w:p>
    <w:p>
      <w:pPr>
        <w:spacing w:before="320" w:after="160"/>
      </w:pPr>
      <w:r>
        <w:rPr>
          <w:rFonts w:ascii="Calibri" w:hAnsi="Calibri" w:eastAsia="PingFang SC"/>
          <w:b/>
          <w:color w:val="1F4D78"/>
          <w:sz w:val="28"/>
        </w:rPr>
        <w:t xml:space="preserve">2. </w:t>
      </w:r>
      <w:r>
        <w:rPr>
          <w:rFonts w:ascii="Calibri" w:hAnsi="Calibri" w:eastAsia="PingFang SC"/>
          <w:b w:val="0"/>
          <w:color w:val="1F4D78"/>
          <w:sz w:val="28"/>
        </w:rPr>
        <w:t>分类说明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PingFang SC"/>
                <w:b/>
                <w:sz w:val="20"/>
              </w:rPr>
              <w:t>标签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PingFang SC"/>
                <w:b/>
                <w:sz w:val="20"/>
              </w:rPr>
              <w:t>含义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PingFang SC"/>
                <w:b/>
                <w:sz w:val="20"/>
              </w:rPr>
              <w:t>典型信号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PingFang SC"/>
                <w:b/>
                <w:sz w:val="20"/>
              </w:rPr>
              <w:t>解释方式</w:t>
            </w:r>
          </w:p>
        </w:tc>
      </w:tr>
      <w:tr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traditional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广东本地做法、地方鸡种或本地饭式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白切鸡、豉油鸡、盐焗鸡、走地鸡、窑鸡、煲仔饭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传统鸡文化在城市餐饮中的延续</w:t>
            </w:r>
          </w:p>
        </w:tc>
      </w:tr>
      <w:tr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modern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外地做法、现代快餐化或连锁化鸡类产品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炸鸡、鸡排、鸡块、鸡腿堡、鸡肉披萨、竹筒饭、普通烧鸡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现代/外来鸡类消费场景扩张</w:t>
            </w:r>
          </w:p>
        </w:tc>
      </w:tr>
      <w:tr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other_chicken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有鸡类信号，但做法或地域归属不清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鸡肉、鸡饭、鸡煲、鸡火锅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只说明能识别出鸡，不强行归入传统或现代</w:t>
            </w:r>
          </w:p>
        </w:tc>
      </w:tr>
      <w:tr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non_chicken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没有足够鸡菜证据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只有海鲜、烧鹅、火锅、酒家、茶餐厅等业态词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不进入鸡类菜品结构分析</w:t>
            </w:r>
          </w:p>
        </w:tc>
      </w:tr>
      <w:tr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excluded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含“鸡”但不是鸡肉餐饮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田鸡、鸡尾酒、鸡蛋仔、鸡精</w:t>
            </w:r>
          </w:p>
        </w:tc>
        <w:tc>
          <w:tcPr>
            <w:tcW w:type="dxa" w:w="234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清洗阶段剔除</w:t>
            </w:r>
          </w:p>
        </w:tc>
      </w:tr>
    </w:tbl>
    <w:p>
      <w:pPr>
        <w:spacing w:before="320" w:after="160"/>
      </w:pPr>
      <w:r>
        <w:rPr>
          <w:rFonts w:ascii="Calibri" w:hAnsi="Calibri" w:eastAsia="PingFang SC"/>
          <w:b/>
          <w:color w:val="1F4D78"/>
          <w:sz w:val="28"/>
        </w:rPr>
        <w:t xml:space="preserve">3. </w:t>
      </w:r>
      <w:r>
        <w:rPr>
          <w:rFonts w:ascii="Calibri" w:hAnsi="Calibri" w:eastAsia="PingFang SC"/>
          <w:b w:val="0"/>
          <w:color w:val="1F4D78"/>
          <w:sz w:val="28"/>
        </w:rPr>
        <w:t>分类流程</w:t>
      </w:r>
    </w:p>
    <w:p>
      <w:pPr>
        <w:spacing w:before="0" w:after="120" w:line="300" w:lineRule="auto"/>
        <w:jc w:val="left"/>
      </w:pPr>
      <w:r>
        <w:rPr>
          <w:rFonts w:ascii="Calibri" w:hAnsi="Calibri" w:eastAsia="PingFang SC"/>
          <w:sz w:val="22"/>
        </w:rPr>
        <w:t>同一条 POI 可能同时包含多个菜品词。当前规则按以下优先级判定：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假阳性词优先剔除，例如田鸡、鸡尾酒、鸡蛋仔。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强现代信号优先判为 modern，例如麦辣鸡、板烧鸡、鸡块、鸡排、鸡腿堡、鸡肉披萨、竹筒饭。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“烧鸡”默认判为 modern；若与客家、粤菜、广府、顺德、潮汕、清远、湛江、荔枝木、走地、土鸡等本地语境共同出现，则判为 traditional。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广东本地鸡菜、地方鸡种和本地饭式判为 traditional。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明确外地/现代/连锁化鸡菜判为 modern。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只含泛鸡信号且无法判断做法时判为 other_chicken。</w:t>
      </w:r>
    </w:p>
    <w:p>
      <w:pPr>
        <w:spacing w:before="320" w:after="160"/>
      </w:pPr>
      <w:r>
        <w:rPr>
          <w:rFonts w:ascii="Calibri" w:hAnsi="Calibri" w:eastAsia="PingFang SC"/>
          <w:b/>
          <w:color w:val="1F4D78"/>
          <w:sz w:val="28"/>
        </w:rPr>
        <w:t xml:space="preserve">4. </w:t>
      </w:r>
      <w:r>
        <w:rPr>
          <w:rFonts w:ascii="Calibri" w:hAnsi="Calibri" w:eastAsia="PingFang SC"/>
          <w:b w:val="0"/>
          <w:color w:val="1F4D78"/>
          <w:sz w:val="28"/>
        </w:rPr>
        <w:t>关键争议项裁决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PingFang SC"/>
                <w:b/>
                <w:sz w:val="20"/>
              </w:rPr>
              <w:t>对象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PingFang SC"/>
                <w:b/>
                <w:sz w:val="20"/>
              </w:rPr>
              <w:t>最终口径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PingFang SC"/>
                <w:b/>
                <w:sz w:val="20"/>
              </w:rPr>
              <w:t>理由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麦当劳、肯德基、赛百味、汉堡王、华莱士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modern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鸡块、鸡排、鸡腿堡、板烧鸡等属于现代快餐化鸡类产品。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尊宝、达美乐等披萨品牌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modern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鸡肉披萨、奥尔良烤鸡、照烧鸡肉等属于现代/西式餐饮语境。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煲仔饭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traditional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按广东本地饭式处理；即使 tag 不完整，也保留生活经验口径。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竹筒饭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modern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按土家/傣族等非广东本地传统食物语境处理；若与农家菜同现，以竹筒饭优先。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普通烧鸡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modern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无地域修饰时按现代/外来烧鸡处理。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客家烧鸡、荔枝木烧鸡、窑鸡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traditional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带广东本地或客家语境，作为本地鸡菜信号。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卤鸡腿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modern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按非广东本地鸡菜处理；但若同一 tag 同时有白切鸡等传统词，当前可能被传统词覆盖。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火锅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other_chicken 或 non_chicken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火锅是业态而不是鸡菜；只有鸡肉/鸡火锅信号时进入 other_chicken。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酒家、大排档、海鲜城、茶餐厅、农庄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不单独决定分类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这些是餐厅类型，最终分类取决于其中出现的鸡类菜品信号。</w:t>
            </w:r>
          </w:p>
        </w:tc>
      </w:tr>
      <w:tr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砂锅粥、烧鹅、烧烤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不单独作为鸡类信号</w:t>
            </w:r>
          </w:p>
        </w:tc>
        <w:tc>
          <w:tcPr>
            <w:tcW w:type="dxa" w:w="312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除非同一条记录中出现白切鸡、土鸡、鸡肉等鸡菜证据。</w:t>
            </w:r>
          </w:p>
        </w:tc>
      </w:tr>
    </w:tbl>
    <w:p>
      <w:pPr>
        <w:spacing w:before="320" w:after="160"/>
      </w:pPr>
      <w:r>
        <w:rPr>
          <w:rFonts w:ascii="Calibri" w:hAnsi="Calibri" w:eastAsia="PingFang SC"/>
          <w:b/>
          <w:color w:val="1F4D78"/>
          <w:sz w:val="28"/>
        </w:rPr>
        <w:t xml:space="preserve">5. </w:t>
      </w:r>
      <w:r>
        <w:rPr>
          <w:rFonts w:ascii="Calibri" w:hAnsi="Calibri" w:eastAsia="PingFang SC"/>
          <w:b w:val="0"/>
          <w:color w:val="1F4D78"/>
          <w:sz w:val="28"/>
        </w:rPr>
        <w:t>图表使用建议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做“传统 vs 现代”结构图时，只比较 traditional 与 modern，other_chicken 单独作为无法归属类展示。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做“鸡类渗透率”时，使用 signboard_pct 与 serves_pct；不要把它写成真实消费量。</w:t>
      </w:r>
    </w:p>
    <w:p>
      <w:pPr>
        <w:spacing w:after="80" w:line="300" w:lineRule="auto"/>
        <w:ind w:left="540" w:hanging="271"/>
      </w:pPr>
      <w:r>
        <w:rPr>
          <w:rFonts w:ascii="Calibri" w:hAnsi="Calibri" w:eastAsia="PingFang SC"/>
          <w:sz w:val="22"/>
        </w:rPr>
        <w:t xml:space="preserve">• </w:t>
      </w:r>
      <w:r>
        <w:rPr>
          <w:rFonts w:ascii="Calibri" w:hAnsi="Calibri" w:eastAsia="PingFang SC"/>
          <w:sz w:val="22"/>
        </w:rPr>
        <w:t>解读酒家、海鲜城、大排档等综合餐厅时，应说明分类来自菜单鸡菜信号，不代表整家店只经营该类菜。</w:t>
      </w:r>
    </w:p>
    <w:p>
      <w:pPr>
        <w:spacing w:before="320" w:after="160"/>
      </w:pPr>
      <w:r>
        <w:rPr>
          <w:rFonts w:ascii="Calibri" w:hAnsi="Calibri" w:eastAsia="PingFang SC"/>
          <w:b/>
          <w:color w:val="1F4D78"/>
          <w:sz w:val="28"/>
        </w:rPr>
        <w:t xml:space="preserve">6. </w:t>
      </w:r>
      <w:r>
        <w:rPr>
          <w:rFonts w:ascii="Calibri" w:hAnsi="Calibri" w:eastAsia="PingFang SC"/>
          <w:b w:val="0"/>
          <w:color w:val="1F4D78"/>
          <w:sz w:val="28"/>
        </w:rPr>
        <w:t>当前版本数据摘要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PingFang SC"/>
                <w:b/>
                <w:sz w:val="20"/>
              </w:rPr>
              <w:t>指标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PingFang SC"/>
                <w:b/>
                <w:sz w:val="20"/>
              </w:rPr>
              <w:t>当前值</w:t>
            </w:r>
          </w:p>
        </w:tc>
      </w:tr>
      <w:tr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clean_rows</w:t>
            </w:r>
          </w:p>
        </w:tc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14,091</w:t>
            </w:r>
          </w:p>
        </w:tc>
      </w:tr>
      <w:tr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traditional</w:t>
            </w:r>
          </w:p>
        </w:tc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3,570</w:t>
            </w:r>
          </w:p>
        </w:tc>
      </w:tr>
      <w:tr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modern</w:t>
            </w:r>
          </w:p>
        </w:tc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4,560</w:t>
            </w:r>
          </w:p>
        </w:tc>
      </w:tr>
      <w:tr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other_chicken</w:t>
            </w:r>
          </w:p>
        </w:tc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2,998</w:t>
            </w:r>
          </w:p>
        </w:tc>
      </w:tr>
      <w:tr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non_chicken</w:t>
            </w:r>
          </w:p>
        </w:tc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2,963</w:t>
            </w:r>
          </w:p>
        </w:tc>
      </w:tr>
      <w:tr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contains_chicken_rows</w:t>
            </w:r>
          </w:p>
        </w:tc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11,128</w:t>
            </w:r>
          </w:p>
        </w:tc>
      </w:tr>
      <w:tr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signboard_rows</w:t>
            </w:r>
          </w:p>
        </w:tc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7,405</w:t>
            </w:r>
          </w:p>
        </w:tc>
      </w:tr>
      <w:tr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recommended_dish_rows</w:t>
            </w:r>
          </w:p>
        </w:tc>
        <w:tc>
          <w:tcPr>
            <w:tcW w:type="dxa" w:w="4680"/>
          </w:tcPr>
          <w:p>
            <w:pPr>
              <w:spacing w:before="0" w:after="40" w:line="276" w:lineRule="auto"/>
              <w:jc w:val="left"/>
            </w:pPr>
            <w:r>
              <w:rPr>
                <w:rFonts w:ascii="Calibri" w:hAnsi="Calibri" w:eastAsia="PingFang SC"/>
                <w:sz w:val="20"/>
              </w:rPr>
              <w:t>3,723</w:t>
            </w:r>
          </w:p>
        </w:tc>
      </w:tr>
    </w:tbl>
    <w:p>
      <w:pPr>
        <w:spacing w:before="320" w:after="160"/>
      </w:pPr>
      <w:r>
        <w:rPr>
          <w:rFonts w:ascii="Calibri" w:hAnsi="Calibri" w:eastAsia="PingFang SC"/>
          <w:b/>
          <w:color w:val="1F4D78"/>
          <w:sz w:val="28"/>
        </w:rPr>
        <w:t xml:space="preserve">7. </w:t>
      </w:r>
      <w:r>
        <w:rPr>
          <w:rFonts w:ascii="Calibri" w:hAnsi="Calibri" w:eastAsia="PingFang SC"/>
          <w:b w:val="0"/>
          <w:color w:val="1F4D78"/>
          <w:sz w:val="28"/>
        </w:rPr>
        <w:t>后续改进口径</w:t>
      </w:r>
    </w:p>
    <w:p>
      <w:pPr>
        <w:spacing w:before="0" w:after="120" w:line="300" w:lineRule="auto"/>
        <w:jc w:val="left"/>
      </w:pPr>
      <w:r>
        <w:rPr>
          <w:rFonts w:ascii="Calibri" w:hAnsi="Calibri" w:eastAsia="PingFang SC"/>
          <w:sz w:val="22"/>
        </w:rPr>
        <w:t>下一步建议在 CSV 中新增 matched_terms、matched_rule、confidence 字段。这样看到“海鲜城 = traditional”时，可以直接知道它是因为白切鸡、走地鸡等菜品词命中，而不是因为海鲜城这个业态本身。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