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 w:eastAsia="PingFang SC"/>
          <w:b/>
          <w:color w:val="0B2545"/>
          <w:sz w:val="40"/>
        </w:rPr>
        <w:t>广州鸡类餐饮 POI 分类口径说明</w:t>
      </w:r>
    </w:p>
    <w:p>
      <w:pPr>
        <w:spacing w:before="0" w:after="200" w:line="300" w:lineRule="auto"/>
        <w:jc w:val="left"/>
      </w:pPr>
      <w:r>
        <w:rPr>
          <w:rFonts w:ascii="Calibri" w:hAnsi="Calibri" w:eastAsia="PingFang SC"/>
          <w:sz w:val="22"/>
        </w:rPr>
        <w:t>适用文件：spike/out_delivery/poi_clean.csv 与 poi_clean.geojson</w:t>
      </w:r>
    </w:p>
    <w:p>
      <w:pPr>
        <w:spacing w:before="320" w:after="160"/>
      </w:pPr>
      <w:r>
        <w:rPr>
          <w:rFonts w:ascii="Calibri" w:hAnsi="Calibri" w:eastAsia="PingFang SC"/>
          <w:b/>
          <w:color w:val="1F4D78"/>
          <w:sz w:val="28"/>
        </w:rPr>
        <w:t xml:space="preserve">1. </w:t>
      </w:r>
      <w:r>
        <w:rPr>
          <w:rFonts w:ascii="Calibri" w:hAnsi="Calibri" w:eastAsia="PingFang SC"/>
          <w:b w:val="0"/>
          <w:color w:val="1F4D78"/>
          <w:sz w:val="28"/>
        </w:rPr>
        <w:t>口径定位</w:t>
      </w:r>
    </w:p>
    <w:p>
      <w:pPr>
        <w:spacing w:before="0" w:after="120" w:line="300" w:lineRule="auto"/>
        <w:jc w:val="left"/>
      </w:pPr>
      <w:r>
        <w:rPr>
          <w:rFonts w:ascii="Calibri" w:hAnsi="Calibri" w:eastAsia="PingFang SC"/>
          <w:sz w:val="22"/>
        </w:rPr>
        <w:t>本说明用于统一第四章“广州样本”中鸡类餐饮 POI 的分类口径。分类对象不是整家店的菜系，而是该 POI 的店名、推荐菜或标签中被识别出来的鸡类菜品信号。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PingFang SC"/>
          <w:sz w:val="22"/>
        </w:rPr>
        <w:t xml:space="preserve">• </w:t>
      </w:r>
      <w:r>
        <w:rPr>
          <w:rFonts w:ascii="Calibri" w:hAnsi="Calibri" w:eastAsia="PingFang SC"/>
          <w:sz w:val="22"/>
        </w:rPr>
        <w:t>研究目标：观察鸡文化在广州现代餐饮空间中的可见度、隐性渗透和传统/现代分化。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PingFang SC"/>
          <w:sz w:val="22"/>
        </w:rPr>
        <w:t xml:space="preserve">• </w:t>
      </w:r>
      <w:r>
        <w:rPr>
          <w:rFonts w:ascii="Calibri" w:hAnsi="Calibri" w:eastAsia="PingFang SC"/>
          <w:sz w:val="22"/>
        </w:rPr>
        <w:t>主数据：清洗后的高德 POI，正式交付目录为 spike/out_delivery/。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PingFang SC"/>
          <w:sz w:val="22"/>
        </w:rPr>
        <w:t xml:space="preserve">• </w:t>
      </w:r>
      <w:r>
        <w:rPr>
          <w:rFonts w:ascii="Calibri" w:hAnsi="Calibri" w:eastAsia="PingFang SC"/>
          <w:sz w:val="22"/>
        </w:rPr>
        <w:t>解释边界：本数据不等同于居民实际吃鸡消费量、订单量或营业额。</w:t>
      </w:r>
    </w:p>
    <w:p>
      <w:pPr>
        <w:spacing w:before="320" w:after="160"/>
      </w:pPr>
      <w:r>
        <w:rPr>
          <w:rFonts w:ascii="Calibri" w:hAnsi="Calibri" w:eastAsia="PingFang SC"/>
          <w:b/>
          <w:color w:val="1F4D78"/>
          <w:sz w:val="28"/>
        </w:rPr>
        <w:t xml:space="preserve">2. </w:t>
      </w:r>
      <w:r>
        <w:rPr>
          <w:rFonts w:ascii="Calibri" w:hAnsi="Calibri" w:eastAsia="PingFang SC"/>
          <w:b w:val="0"/>
          <w:color w:val="1F4D78"/>
          <w:sz w:val="28"/>
        </w:rPr>
        <w:t>数据来源与坐标系</w:t>
      </w:r>
    </w:p>
    <w:p>
      <w:pPr>
        <w:spacing w:before="0" w:after="120" w:line="300" w:lineRule="auto"/>
        <w:jc w:val="left"/>
      </w:pPr>
      <w:r>
        <w:rPr>
          <w:rFonts w:ascii="Calibri" w:hAnsi="Calibri" w:eastAsia="PingFang SC"/>
          <w:sz w:val="22"/>
        </w:rPr>
        <w:t>本 README 固化的是 POI 清洗分类口径。数据来源分为参与计算的高德 POI 原始数据、用于故事背景的公开资料整理表，以及最终交付给制图环节的清洗结果。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PingFang SC"/>
                <w:b/>
                <w:sz w:val="20"/>
              </w:rPr>
              <w:t>数据项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PingFang SC"/>
                <w:b/>
                <w:sz w:val="20"/>
              </w:rPr>
              <w:t>来源与用途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PingFang SC"/>
                <w:b/>
                <w:sz w:val="20"/>
              </w:rPr>
              <w:t>参与计算</w:t>
            </w:r>
          </w:p>
        </w:tc>
      </w:tr>
      <w:tr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鸡类候选 POI</w:t>
            </w:r>
          </w:p>
        </w:tc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高德地图 POI 原始抓取结果；用于清洗、去重和分类。</w:t>
            </w:r>
          </w:p>
        </w:tc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是</w:t>
            </w:r>
          </w:p>
        </w:tc>
      </w:tr>
      <w:tr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全量餐饮 POI</w:t>
            </w:r>
          </w:p>
        </w:tc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高德地图餐饮服务全量样本；作为各区渗透率分母。</w:t>
            </w:r>
          </w:p>
        </w:tc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是</w:t>
            </w:r>
          </w:p>
        </w:tc>
      </w:tr>
      <w:tr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背景资料源表</w:t>
            </w:r>
          </w:p>
        </w:tc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公开资料整理表；用于第四章故事背景和外部佐证。</w:t>
            </w:r>
          </w:p>
        </w:tc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否</w:t>
            </w:r>
          </w:p>
        </w:tc>
      </w:tr>
      <w:tr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清洗后 POI</w:t>
            </w:r>
          </w:p>
        </w:tc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正式交付给 GeoScene 点图层、分类结构图和空间分析。</w:t>
            </w:r>
          </w:p>
        </w:tc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结果</w:t>
            </w:r>
          </w:p>
        </w:tc>
      </w:tr>
      <w:tr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分区渗透率表</w:t>
            </w:r>
          </w:p>
        </w:tc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由鸡类 POI 分子与全量餐饮 POI 分母计算生成。</w:t>
            </w:r>
          </w:p>
        </w:tc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结果</w:t>
            </w:r>
          </w:p>
        </w:tc>
      </w:tr>
    </w:tbl>
    <w:p>
      <w:pPr>
        <w:spacing w:after="80" w:line="300" w:lineRule="auto"/>
        <w:ind w:left="540" w:hanging="271"/>
      </w:pPr>
      <w:r>
        <w:rPr>
          <w:rFonts w:ascii="Calibri" w:hAnsi="Calibri" w:eastAsia="PingFang SC"/>
          <w:sz w:val="22"/>
        </w:rPr>
        <w:t xml:space="preserve">• </w:t>
      </w:r>
      <w:r>
        <w:rPr>
          <w:rFonts w:ascii="Calibri" w:hAnsi="Calibri" w:eastAsia="PingFang SC"/>
          <w:sz w:val="22"/>
        </w:rPr>
        <w:t>鸡类候选 POI 原始文件：spike/data/poi_raw_chicken_keyword.jsonl。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PingFang SC"/>
          <w:sz w:val="22"/>
        </w:rPr>
        <w:t xml:space="preserve">• </w:t>
      </w:r>
      <w:r>
        <w:rPr>
          <w:rFonts w:ascii="Calibri" w:hAnsi="Calibri" w:eastAsia="PingFang SC"/>
          <w:sz w:val="22"/>
        </w:rPr>
        <w:t>全量餐饮 POI 原始文件：spike/data/poi_raw_all_food.jsonl。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PingFang SC"/>
          <w:sz w:val="22"/>
        </w:rPr>
        <w:t xml:space="preserve">• </w:t>
      </w:r>
      <w:r>
        <w:rPr>
          <w:rFonts w:ascii="Calibri" w:hAnsi="Calibri" w:eastAsia="PingFang SC"/>
          <w:sz w:val="22"/>
        </w:rPr>
        <w:t>背景资料整理表：spike/data/background_context_sources.csv，包含统计年鉴、政府新闻、行业报告、协会报告和媒体报道，仅用于故事背景和引用线索，不参与 POI 分类或渗透率计算。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PingFang SC"/>
          <w:sz w:val="22"/>
        </w:rPr>
        <w:t xml:space="preserve">• </w:t>
      </w:r>
      <w:r>
        <w:rPr>
          <w:rFonts w:ascii="Calibri" w:hAnsi="Calibri" w:eastAsia="PingFang SC"/>
          <w:sz w:val="22"/>
        </w:rPr>
        <w:t>正式交付文件：spike/out_delivery/poi_clean.csv、poi_clean.geojson 与 penetration_by_district.csv。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PingFang SC"/>
          <w:sz w:val="22"/>
        </w:rPr>
        <w:t xml:space="preserve">• </w:t>
      </w:r>
      <w:r>
        <w:rPr>
          <w:rFonts w:ascii="Calibri" w:hAnsi="Calibri" w:eastAsia="PingFang SC"/>
          <w:sz w:val="22"/>
        </w:rPr>
        <w:t>原始高德 POI 的 location 字段为 GCJ-02 坐标。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PingFang SC"/>
          <w:sz w:val="22"/>
        </w:rPr>
        <w:t xml:space="preserve">• </w:t>
      </w:r>
      <w:r>
        <w:rPr>
          <w:rFonts w:ascii="Calibri" w:hAnsi="Calibri" w:eastAsia="PingFang SC"/>
          <w:sz w:val="22"/>
        </w:rPr>
        <w:t>当前 out_delivery 交付数据由 python3 spike/build_delivery_data.py 生成，未使用 --keep-gcj02，因此 lng/lat 输出为 WGS-84。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PingFang SC"/>
          <w:sz w:val="22"/>
        </w:rPr>
        <w:t xml:space="preserve">• </w:t>
      </w:r>
      <w:r>
        <w:rPr>
          <w:rFonts w:ascii="Calibri" w:hAnsi="Calibri" w:eastAsia="PingFang SC"/>
          <w:sz w:val="22"/>
        </w:rPr>
        <w:t>如果后续使用高德或其他 GCJ-02 底图，应另行用 --keep-gcj02 导出一版，不能与当前 WGS-84 结果混用。</w:t>
      </w:r>
    </w:p>
    <w:p>
      <w:pPr>
        <w:spacing w:before="320" w:after="160"/>
      </w:pPr>
      <w:r>
        <w:rPr>
          <w:rFonts w:ascii="Calibri" w:hAnsi="Calibri" w:eastAsia="PingFang SC"/>
          <w:b/>
          <w:color w:val="1F4D78"/>
          <w:sz w:val="28"/>
        </w:rPr>
        <w:t xml:space="preserve">3. </w:t>
      </w:r>
      <w:r>
        <w:rPr>
          <w:rFonts w:ascii="Calibri" w:hAnsi="Calibri" w:eastAsia="PingFang SC"/>
          <w:b w:val="0"/>
          <w:color w:val="1F4D78"/>
          <w:sz w:val="28"/>
        </w:rPr>
        <w:t>分类说明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PingFang SC"/>
                <w:b/>
                <w:sz w:val="20"/>
              </w:rPr>
              <w:t>标签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PingFang SC"/>
                <w:b/>
                <w:sz w:val="20"/>
              </w:rPr>
              <w:t>含义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PingFang SC"/>
                <w:b/>
                <w:sz w:val="20"/>
              </w:rPr>
              <w:t>典型信号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PingFang SC"/>
                <w:b/>
                <w:sz w:val="20"/>
              </w:rPr>
              <w:t>解释方式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traditional</w:t>
            </w:r>
          </w:p>
        </w:tc>
        <w:tc>
          <w:tcPr>
            <w:tcW w:type="dxa" w:w="234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广东本地做法、地方鸡种或本地饭式</w:t>
            </w:r>
          </w:p>
        </w:tc>
        <w:tc>
          <w:tcPr>
            <w:tcW w:type="dxa" w:w="234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白切鸡、豉油鸡、盐焗鸡、走地鸡、窑鸡、煲仔饭</w:t>
            </w:r>
          </w:p>
        </w:tc>
        <w:tc>
          <w:tcPr>
            <w:tcW w:type="dxa" w:w="234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传统鸡文化在城市餐饮中的延续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modern</w:t>
            </w:r>
          </w:p>
        </w:tc>
        <w:tc>
          <w:tcPr>
            <w:tcW w:type="dxa" w:w="234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外地做法、现代快餐化或连锁化鸡类产品</w:t>
            </w:r>
          </w:p>
        </w:tc>
        <w:tc>
          <w:tcPr>
            <w:tcW w:type="dxa" w:w="234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炸鸡、鸡排、鸡块、鸡腿堡、鸡肉披萨、竹筒饭、普通烧鸡</w:t>
            </w:r>
          </w:p>
        </w:tc>
        <w:tc>
          <w:tcPr>
            <w:tcW w:type="dxa" w:w="234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快餐化和外来鸡类消费场景扩张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other_chicken</w:t>
            </w:r>
          </w:p>
        </w:tc>
        <w:tc>
          <w:tcPr>
            <w:tcW w:type="dxa" w:w="234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有鸡类信号，但做法或地域归属不清</w:t>
            </w:r>
          </w:p>
        </w:tc>
        <w:tc>
          <w:tcPr>
            <w:tcW w:type="dxa" w:w="234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鸡肉、鸡饭、鸡煲、鸡火锅</w:t>
            </w:r>
          </w:p>
        </w:tc>
        <w:tc>
          <w:tcPr>
            <w:tcW w:type="dxa" w:w="234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只说明能识别出鸡，不强行归入传统或现代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non_chicken</w:t>
            </w:r>
          </w:p>
        </w:tc>
        <w:tc>
          <w:tcPr>
            <w:tcW w:type="dxa" w:w="234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没有足够鸡菜证据</w:t>
            </w:r>
          </w:p>
        </w:tc>
        <w:tc>
          <w:tcPr>
            <w:tcW w:type="dxa" w:w="234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只有海鲜、烧鹅、火锅、酒家、茶餐厅等业态词</w:t>
            </w:r>
          </w:p>
        </w:tc>
        <w:tc>
          <w:tcPr>
            <w:tcW w:type="dxa" w:w="234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不进入鸡类菜品结构分析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excluded</w:t>
            </w:r>
          </w:p>
        </w:tc>
        <w:tc>
          <w:tcPr>
            <w:tcW w:type="dxa" w:w="234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含“鸡”但不是鸡肉餐饮</w:t>
            </w:r>
          </w:p>
        </w:tc>
        <w:tc>
          <w:tcPr>
            <w:tcW w:type="dxa" w:w="234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田鸡、鸡尾酒、鸡蛋仔、鸡精</w:t>
            </w:r>
          </w:p>
        </w:tc>
        <w:tc>
          <w:tcPr>
            <w:tcW w:type="dxa" w:w="234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清洗阶段剔除</w:t>
            </w:r>
          </w:p>
        </w:tc>
      </w:tr>
    </w:tbl>
    <w:p>
      <w:pPr>
        <w:spacing w:before="320" w:after="160"/>
      </w:pPr>
      <w:r>
        <w:rPr>
          <w:rFonts w:ascii="Calibri" w:hAnsi="Calibri" w:eastAsia="PingFang SC"/>
          <w:b/>
          <w:color w:val="1F4D78"/>
          <w:sz w:val="28"/>
        </w:rPr>
        <w:t xml:space="preserve">4. </w:t>
      </w:r>
      <w:r>
        <w:rPr>
          <w:rFonts w:ascii="Calibri" w:hAnsi="Calibri" w:eastAsia="PingFang SC"/>
          <w:b w:val="0"/>
          <w:color w:val="1F4D78"/>
          <w:sz w:val="28"/>
        </w:rPr>
        <w:t>分类流程</w:t>
      </w:r>
    </w:p>
    <w:p>
      <w:pPr>
        <w:spacing w:before="0" w:after="120" w:line="300" w:lineRule="auto"/>
        <w:jc w:val="left"/>
      </w:pPr>
      <w:r>
        <w:rPr>
          <w:rFonts w:ascii="Calibri" w:hAnsi="Calibri" w:eastAsia="PingFang SC"/>
          <w:sz w:val="22"/>
        </w:rPr>
        <w:t>同一条 POI 可能同时包含多个菜品词。当前规则按以下优先级判定：</w:t>
      </w:r>
    </w:p>
    <w:p>
      <w:pPr>
        <w:spacing w:after="80" w:line="300" w:lineRule="auto"/>
        <w:ind w:left="540" w:hanging="271"/>
      </w:pPr>
      <w:r>
        <w:rPr>
          <w:rFonts w:ascii="Calibri" w:hAnsi="Calibri" w:eastAsia="PingFang SC"/>
          <w:sz w:val="22"/>
        </w:rPr>
        <w:t xml:space="preserve">• </w:t>
      </w:r>
      <w:r>
        <w:rPr>
          <w:rFonts w:ascii="Calibri" w:hAnsi="Calibri" w:eastAsia="PingFang SC"/>
          <w:sz w:val="22"/>
        </w:rPr>
        <w:t>假阳性词优先剔除，例如田鸡、鸡尾酒、鸡蛋仔。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PingFang SC"/>
          <w:sz w:val="22"/>
        </w:rPr>
        <w:t xml:space="preserve">• </w:t>
      </w:r>
      <w:r>
        <w:rPr>
          <w:rFonts w:ascii="Calibri" w:hAnsi="Calibri" w:eastAsia="PingFang SC"/>
          <w:sz w:val="22"/>
        </w:rPr>
        <w:t>强现代信号优先判为 modern，例如麦辣鸡、板烧鸡、鸡块、鸡排、鸡腿堡、鸡肉披萨、竹筒饭。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PingFang SC"/>
          <w:sz w:val="22"/>
        </w:rPr>
        <w:t xml:space="preserve">• </w:t>
      </w:r>
      <w:r>
        <w:rPr>
          <w:rFonts w:ascii="Calibri" w:hAnsi="Calibri" w:eastAsia="PingFang SC"/>
          <w:sz w:val="22"/>
        </w:rPr>
        <w:t>“烧鸡”默认判为 modern；若与客家、粤菜、广府、顺德、潮汕、清远、湛江、荔枝木、走地、土鸡等本地语境共同出现，则判为 traditional。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PingFang SC"/>
          <w:sz w:val="22"/>
        </w:rPr>
        <w:t xml:space="preserve">• </w:t>
      </w:r>
      <w:r>
        <w:rPr>
          <w:rFonts w:ascii="Calibri" w:hAnsi="Calibri" w:eastAsia="PingFang SC"/>
          <w:sz w:val="22"/>
        </w:rPr>
        <w:t>广东本地鸡菜、地方鸡种和本地饭式判为 traditional。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PingFang SC"/>
          <w:sz w:val="22"/>
        </w:rPr>
        <w:t xml:space="preserve">• </w:t>
      </w:r>
      <w:r>
        <w:rPr>
          <w:rFonts w:ascii="Calibri" w:hAnsi="Calibri" w:eastAsia="PingFang SC"/>
          <w:sz w:val="22"/>
        </w:rPr>
        <w:t>明确外地、现代或连锁化鸡菜判为 modern。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PingFang SC"/>
          <w:sz w:val="22"/>
        </w:rPr>
        <w:t xml:space="preserve">• </w:t>
      </w:r>
      <w:r>
        <w:rPr>
          <w:rFonts w:ascii="Calibri" w:hAnsi="Calibri" w:eastAsia="PingFang SC"/>
          <w:sz w:val="22"/>
        </w:rPr>
        <w:t>只含泛鸡信号且无法判断做法时判为 other_chicken。</w:t>
      </w:r>
    </w:p>
    <w:p>
      <w:pPr>
        <w:spacing w:before="320" w:after="160"/>
      </w:pPr>
      <w:r>
        <w:rPr>
          <w:rFonts w:ascii="Calibri" w:hAnsi="Calibri" w:eastAsia="PingFang SC"/>
          <w:b/>
          <w:color w:val="1F4D78"/>
          <w:sz w:val="28"/>
        </w:rPr>
        <w:t xml:space="preserve">5. </w:t>
      </w:r>
      <w:r>
        <w:rPr>
          <w:rFonts w:ascii="Calibri" w:hAnsi="Calibri" w:eastAsia="PingFang SC"/>
          <w:b w:val="0"/>
          <w:color w:val="1F4D78"/>
          <w:sz w:val="28"/>
        </w:rPr>
        <w:t>关键争议项裁决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PingFang SC"/>
                <w:b/>
                <w:sz w:val="20"/>
              </w:rPr>
              <w:t>对象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PingFang SC"/>
                <w:b/>
                <w:sz w:val="20"/>
              </w:rPr>
              <w:t>最终口径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PingFang SC"/>
                <w:b/>
                <w:sz w:val="20"/>
              </w:rPr>
              <w:t>理由</w:t>
            </w:r>
          </w:p>
        </w:tc>
      </w:tr>
      <w:tr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麦当劳、肯德基、赛百味、汉堡王、华莱士</w:t>
            </w:r>
          </w:p>
        </w:tc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modern</w:t>
            </w:r>
          </w:p>
        </w:tc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鸡块、鸡排、鸡腿堡、板烧鸡等属于现代快餐化鸡类产品。</w:t>
            </w:r>
          </w:p>
        </w:tc>
      </w:tr>
      <w:tr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尊宝、达美乐等披萨品牌</w:t>
            </w:r>
          </w:p>
        </w:tc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modern</w:t>
            </w:r>
          </w:p>
        </w:tc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鸡肉披萨、奥尔良烤鸡、照烧鸡肉等属于现代或西式餐饮语境。</w:t>
            </w:r>
          </w:p>
        </w:tc>
      </w:tr>
      <w:tr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煲仔饭</w:t>
            </w:r>
          </w:p>
        </w:tc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traditional</w:t>
            </w:r>
          </w:p>
        </w:tc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按广东本地饭式处理；即使 tag 不完整，也保留生活经验口径。</w:t>
            </w:r>
          </w:p>
        </w:tc>
      </w:tr>
      <w:tr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竹筒饭</w:t>
            </w:r>
          </w:p>
        </w:tc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modern</w:t>
            </w:r>
          </w:p>
        </w:tc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按土家/傣族等非广东本地传统食物语境处理；若与农家菜同现，以竹筒饭优先。</w:t>
            </w:r>
          </w:p>
        </w:tc>
      </w:tr>
      <w:tr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普通烧鸡</w:t>
            </w:r>
          </w:p>
        </w:tc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modern</w:t>
            </w:r>
          </w:p>
        </w:tc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无地域修饰时按现代或外来烧鸡处理。</w:t>
            </w:r>
          </w:p>
        </w:tc>
      </w:tr>
      <w:tr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客家烧鸡、荔枝木烧鸡、窑鸡</w:t>
            </w:r>
          </w:p>
        </w:tc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traditional</w:t>
            </w:r>
          </w:p>
        </w:tc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带广东本地或客家语境，作为本地鸡菜信号。</w:t>
            </w:r>
          </w:p>
        </w:tc>
      </w:tr>
      <w:tr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卤鸡腿</w:t>
            </w:r>
          </w:p>
        </w:tc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modern</w:t>
            </w:r>
          </w:p>
        </w:tc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按非广东本地鸡菜处理；但若同一 tag 同时有白切鸡等传统词，当前可能被传统词覆盖。</w:t>
            </w:r>
          </w:p>
        </w:tc>
      </w:tr>
      <w:tr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火锅</w:t>
            </w:r>
          </w:p>
        </w:tc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other_chicken 或 non_chicken</w:t>
            </w:r>
          </w:p>
        </w:tc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火锅是业态而不是鸡菜；只有鸡肉/鸡火锅信号时进入 other_chicken。</w:t>
            </w:r>
          </w:p>
        </w:tc>
      </w:tr>
      <w:tr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酒家、大排档、海鲜城、茶餐厅、农庄</w:t>
            </w:r>
          </w:p>
        </w:tc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不单独决定分类</w:t>
            </w:r>
          </w:p>
        </w:tc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这些是餐厅类型，最终分类取决于其中出现的鸡类菜品信号。</w:t>
            </w:r>
          </w:p>
        </w:tc>
      </w:tr>
      <w:tr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砂锅粥、烧鹅、烧烤</w:t>
            </w:r>
          </w:p>
        </w:tc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不单独作为鸡类信号</w:t>
            </w:r>
          </w:p>
        </w:tc>
        <w:tc>
          <w:tcPr>
            <w:tcW w:type="dxa" w:w="312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除非同一条记录中出现白切鸡、土鸡、鸡肉等鸡菜证据。</w:t>
            </w:r>
          </w:p>
        </w:tc>
      </w:tr>
    </w:tbl>
    <w:p>
      <w:pPr>
        <w:spacing w:before="320" w:after="160"/>
      </w:pPr>
      <w:r>
        <w:rPr>
          <w:rFonts w:ascii="Calibri" w:hAnsi="Calibri" w:eastAsia="PingFang SC"/>
          <w:b/>
          <w:color w:val="1F4D78"/>
          <w:sz w:val="28"/>
        </w:rPr>
        <w:t xml:space="preserve">6. </w:t>
      </w:r>
      <w:r>
        <w:rPr>
          <w:rFonts w:ascii="Calibri" w:hAnsi="Calibri" w:eastAsia="PingFang SC"/>
          <w:b w:val="0"/>
          <w:color w:val="1F4D78"/>
          <w:sz w:val="28"/>
        </w:rPr>
        <w:t>图表使用建议</w:t>
      </w:r>
    </w:p>
    <w:p>
      <w:pPr>
        <w:spacing w:after="80" w:line="300" w:lineRule="auto"/>
        <w:ind w:left="540" w:hanging="271"/>
      </w:pPr>
      <w:r>
        <w:rPr>
          <w:rFonts w:ascii="Calibri" w:hAnsi="Calibri" w:eastAsia="PingFang SC"/>
          <w:sz w:val="22"/>
        </w:rPr>
        <w:t xml:space="preserve">• </w:t>
      </w:r>
      <w:r>
        <w:rPr>
          <w:rFonts w:ascii="Calibri" w:hAnsi="Calibri" w:eastAsia="PingFang SC"/>
          <w:sz w:val="22"/>
        </w:rPr>
        <w:t>做“传统与现代”结构图时，只比较 traditional 与 modern，other_chicken 单独作为无法归属类展示。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PingFang SC"/>
          <w:sz w:val="22"/>
        </w:rPr>
        <w:t xml:space="preserve">• </w:t>
      </w:r>
      <w:r>
        <w:rPr>
          <w:rFonts w:ascii="Calibri" w:hAnsi="Calibri" w:eastAsia="PingFang SC"/>
          <w:sz w:val="22"/>
        </w:rPr>
        <w:t>做“鸡类渗透率”时，使用 signboard_pct 与 serves_pct；不要把它写成真实消费量。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PingFang SC"/>
          <w:sz w:val="22"/>
        </w:rPr>
        <w:t xml:space="preserve">• </w:t>
      </w:r>
      <w:r>
        <w:rPr>
          <w:rFonts w:ascii="Calibri" w:hAnsi="Calibri" w:eastAsia="PingFang SC"/>
          <w:sz w:val="22"/>
        </w:rPr>
        <w:t>解读酒家、海鲜城、大排档等综合餐厅时，应说明分类来自菜单鸡菜信号，不代表整家店只经营该类菜。</w:t>
      </w:r>
    </w:p>
    <w:p>
      <w:pPr>
        <w:spacing w:before="320" w:after="160"/>
      </w:pPr>
      <w:r>
        <w:rPr>
          <w:rFonts w:ascii="Calibri" w:hAnsi="Calibri" w:eastAsia="PingFang SC"/>
          <w:b/>
          <w:color w:val="1F4D78"/>
          <w:sz w:val="28"/>
        </w:rPr>
        <w:t xml:space="preserve">7. </w:t>
      </w:r>
      <w:r>
        <w:rPr>
          <w:rFonts w:ascii="Calibri" w:hAnsi="Calibri" w:eastAsia="PingFang SC"/>
          <w:b w:val="0"/>
          <w:color w:val="1F4D78"/>
          <w:sz w:val="28"/>
        </w:rPr>
        <w:t>当前版本数据摘要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PingFang SC"/>
                <w:b/>
                <w:sz w:val="20"/>
              </w:rPr>
              <w:t>指标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PingFang SC"/>
                <w:b/>
                <w:sz w:val="20"/>
              </w:rPr>
              <w:t>当前值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clean_rows</w:t>
            </w:r>
          </w:p>
        </w:tc>
        <w:tc>
          <w:tcPr>
            <w:tcW w:type="dxa" w:w="468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14,091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traditional</w:t>
            </w:r>
          </w:p>
        </w:tc>
        <w:tc>
          <w:tcPr>
            <w:tcW w:type="dxa" w:w="468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3,570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modern</w:t>
            </w:r>
          </w:p>
        </w:tc>
        <w:tc>
          <w:tcPr>
            <w:tcW w:type="dxa" w:w="468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4,560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other_chicken</w:t>
            </w:r>
          </w:p>
        </w:tc>
        <w:tc>
          <w:tcPr>
            <w:tcW w:type="dxa" w:w="468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2,998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non_chicken</w:t>
            </w:r>
          </w:p>
        </w:tc>
        <w:tc>
          <w:tcPr>
            <w:tcW w:type="dxa" w:w="468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2,963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contains_chicken_rows</w:t>
            </w:r>
          </w:p>
        </w:tc>
        <w:tc>
          <w:tcPr>
            <w:tcW w:type="dxa" w:w="468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11,128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signboard_rows</w:t>
            </w:r>
          </w:p>
        </w:tc>
        <w:tc>
          <w:tcPr>
            <w:tcW w:type="dxa" w:w="468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7,405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recommended_dish_rows</w:t>
            </w:r>
          </w:p>
        </w:tc>
        <w:tc>
          <w:tcPr>
            <w:tcW w:type="dxa" w:w="4680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PingFang SC"/>
                <w:sz w:val="20"/>
              </w:rPr>
              <w:t>3,723</w:t>
            </w:r>
          </w:p>
        </w:tc>
      </w:tr>
    </w:tbl>
    <w:p>
      <w:pPr>
        <w:spacing w:before="320" w:after="160"/>
      </w:pPr>
      <w:r>
        <w:rPr>
          <w:rFonts w:ascii="Calibri" w:hAnsi="Calibri" w:eastAsia="PingFang SC"/>
          <w:b/>
          <w:color w:val="1F4D78"/>
          <w:sz w:val="28"/>
        </w:rPr>
        <w:t xml:space="preserve">8. </w:t>
      </w:r>
      <w:r>
        <w:rPr>
          <w:rFonts w:ascii="Calibri" w:hAnsi="Calibri" w:eastAsia="PingFang SC"/>
          <w:b w:val="0"/>
          <w:color w:val="1F4D78"/>
          <w:sz w:val="28"/>
        </w:rPr>
        <w:t>后续改进口径</w:t>
      </w:r>
    </w:p>
    <w:p>
      <w:pPr>
        <w:spacing w:before="0" w:after="120" w:line="300" w:lineRule="auto"/>
        <w:jc w:val="left"/>
      </w:pPr>
      <w:r>
        <w:rPr>
          <w:rFonts w:ascii="Calibri" w:hAnsi="Calibri" w:eastAsia="PingFang SC"/>
          <w:sz w:val="22"/>
        </w:rPr>
        <w:t>下一步建议在 CSV 中新增 matched_terms、matched_rule、confidence 字段。这样看到“海鲜城 = traditional”时，可以直接知道它是因为白切鸡、走地鸡等菜品词命中，而不是因为海鲜城这个业态本身。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