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A4E" w:rsidRDefault="00CA3453">
      <w:pPr>
        <w:pStyle w:val="Heading1"/>
      </w:pPr>
      <w:bookmarkStart w:id="0" w:name="Xa9c87f7ab9a2cce9a3a5cf8c136a47e2076facb"/>
      <w:r>
        <w:t>GUI Online Survey: Comparing GUI and Non-GUI Members</w:t>
      </w:r>
      <w:bookmarkEnd w:id="0"/>
    </w:p>
    <w:p w:rsidR="00EA4A4E" w:rsidRDefault="00CA3453">
      <w:pPr>
        <w:pStyle w:val="FirstParagraph"/>
      </w:pPr>
      <w:r>
        <w:t>193 entries (GUI: 104, non-GUI: 89)</w:t>
      </w:r>
    </w:p>
    <w:p w:rsidR="00EA4A4E" w:rsidRDefault="00CA3453">
      <w:pPr>
        <w:pStyle w:val="Heading2"/>
      </w:pPr>
      <w:bookmarkStart w:id="1" w:name="correlation-analysis"/>
      <w:r>
        <w:t>Correlation Analysis</w:t>
      </w:r>
      <w:bookmarkEnd w:id="1"/>
    </w:p>
    <w:p w:rsidR="00EA4A4E" w:rsidRDefault="00CA3453">
      <w:pPr>
        <w:pStyle w:val="Compact"/>
        <w:numPr>
          <w:ilvl w:val="0"/>
          <w:numId w:val="2"/>
        </w:numPr>
      </w:pPr>
      <w:r>
        <w:rPr>
          <w:b/>
        </w:rPr>
        <w:t>Sense of Community (</w:t>
      </w:r>
      <w:r>
        <w:rPr>
          <w:rStyle w:val="VerbatimChar"/>
          <w:b/>
        </w:rPr>
        <w:t>SOC</w:t>
      </w:r>
      <w:r>
        <w:rPr>
          <w:b/>
        </w:rPr>
        <w:t>)</w:t>
      </w:r>
      <w:r>
        <w:t xml:space="preserve"> and </w:t>
      </w:r>
      <w:r>
        <w:rPr>
          <w:b/>
        </w:rPr>
        <w:t>Social Cohesion (</w:t>
      </w:r>
      <w:r>
        <w:rPr>
          <w:rStyle w:val="VerbatimChar"/>
          <w:b/>
        </w:rPr>
        <w:t>SoCoh</w:t>
      </w:r>
      <w:r>
        <w:rPr>
          <w:b/>
        </w:rPr>
        <w:t>)</w:t>
      </w:r>
      <w:r>
        <w:t xml:space="preserve"> show the </w:t>
      </w:r>
      <w:r>
        <w:rPr>
          <w:b/>
        </w:rPr>
        <w:t>moderate to strong significant correlation</w:t>
      </w:r>
      <w:r>
        <w:t xml:space="preserve">. It’s interesting to note that </w:t>
      </w:r>
      <w:r>
        <w:rPr>
          <w:b/>
        </w:rPr>
        <w:t>Connection to Nature</w:t>
      </w:r>
      <w:r>
        <w:t xml:space="preserve"> shows </w:t>
      </w:r>
      <w:r>
        <w:rPr>
          <w:b/>
        </w:rPr>
        <w:t>small to moderate significant corr</w:t>
      </w:r>
      <w:r>
        <w:rPr>
          <w:b/>
        </w:rPr>
        <w:t>elations</w:t>
      </w:r>
      <w:r>
        <w:t xml:space="preserve"> with all the </w:t>
      </w:r>
      <w:r>
        <w:rPr>
          <w:b/>
        </w:rPr>
        <w:t>psychological measurements</w:t>
      </w:r>
      <w:r>
        <w:t>. This will be examined further with the only GUI dataset.</w:t>
      </w:r>
    </w:p>
    <w:p w:rsidR="00EA4A4E" w:rsidRDefault="00CA345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-chap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4E" w:rsidRDefault="00CA3453">
      <w:pPr>
        <w:pStyle w:val="Heading2"/>
      </w:pPr>
      <w:bookmarkStart w:id="2" w:name="X7a4245d76b0f276e74fa4487dc34b433b4cfc42"/>
      <w:r>
        <w:t>Significant test (t-test and Wilcoxon Test)</w:t>
      </w:r>
      <w:bookmarkEnd w:id="2"/>
    </w:p>
    <w:p w:rsidR="00EA4A4E" w:rsidRDefault="00CA3453">
      <w:pPr>
        <w:numPr>
          <w:ilvl w:val="0"/>
          <w:numId w:val="3"/>
        </w:numPr>
      </w:pPr>
      <w:r>
        <w:t xml:space="preserve">As preliminary analyses, we assessed whether there were </w:t>
      </w:r>
      <w:r>
        <w:rPr>
          <w:b/>
        </w:rPr>
        <w:t>any differences between GUI and non-GUI group in terms of the respective psychological measures</w:t>
      </w:r>
      <w:r>
        <w:t xml:space="preserve"> such as sense of community, nature connection, self-efficacy, and self-esteem.</w:t>
      </w:r>
    </w:p>
    <w:p w:rsidR="00EA4A4E" w:rsidRDefault="00CA3453">
      <w:pPr>
        <w:numPr>
          <w:ilvl w:val="0"/>
          <w:numId w:val="3"/>
        </w:numPr>
      </w:pPr>
      <w:r>
        <w:t xml:space="preserve">We conducted </w:t>
      </w:r>
      <w:r>
        <w:rPr>
          <w:b/>
        </w:rPr>
        <w:t>the Welch Tw</w:t>
      </w:r>
      <w:r>
        <w:rPr>
          <w:b/>
        </w:rPr>
        <w:t>o Sample t-test</w:t>
      </w:r>
      <w:r>
        <w:t xml:space="preserve"> on </w:t>
      </w:r>
      <w:r>
        <w:rPr>
          <w:b/>
        </w:rPr>
        <w:t>Sense of Community</w:t>
      </w:r>
      <w:r>
        <w:t xml:space="preserve"> and </w:t>
      </w:r>
      <w:r>
        <w:rPr>
          <w:b/>
        </w:rPr>
        <w:t>Wilcoxon Signed-rank test</w:t>
      </w:r>
      <w:r>
        <w:t xml:space="preserve"> on the rest of the scales. </w:t>
      </w:r>
      <w:r>
        <w:rPr>
          <w:b/>
        </w:rPr>
        <w:t>Statistically significant differences</w:t>
      </w:r>
      <w:r>
        <w:t xml:space="preserve"> were observed in </w:t>
      </w:r>
      <w:r>
        <w:rPr>
          <w:b/>
        </w:rPr>
        <w:t>the Nature Connection</w:t>
      </w:r>
      <w:r>
        <w:t xml:space="preserve"> between </w:t>
      </w:r>
      <w:r>
        <w:rPr>
          <w:b/>
        </w:rPr>
        <w:t>GUI members and non-GUI members</w:t>
      </w:r>
      <w:r>
        <w:t xml:space="preserve"> (Table 6). Cohen’s d was estimated at </w:t>
      </w:r>
      <w:r>
        <w:rPr>
          <w:b/>
        </w:rPr>
        <w:t>0.2</w:t>
      </w:r>
      <w:r>
        <w:t>, w</w:t>
      </w:r>
      <w:r>
        <w:t xml:space="preserve">hich is </w:t>
      </w:r>
      <w:r>
        <w:rPr>
          <w:b/>
        </w:rPr>
        <w:t>a small effect</w:t>
      </w:r>
      <w:r>
        <w:t xml:space="preserve"> based on the Cohen’s guidelines (1992).</w:t>
      </w:r>
    </w:p>
    <w:p w:rsidR="00EA4A4E" w:rsidRDefault="00CA3453">
      <w:pPr>
        <w:numPr>
          <w:ilvl w:val="0"/>
          <w:numId w:val="3"/>
        </w:numPr>
      </w:pPr>
      <w:r>
        <w:lastRenderedPageBreak/>
        <w:t xml:space="preserve">Although the effect is small, this study identified that </w:t>
      </w:r>
      <w:r>
        <w:rPr>
          <w:b/>
        </w:rPr>
        <w:t>those who engaged in GUI programs more than three months</w:t>
      </w:r>
      <w:r>
        <w:t xml:space="preserve"> in the last two years have </w:t>
      </w:r>
      <w:r>
        <w:rPr>
          <w:b/>
        </w:rPr>
        <w:t>a stronger sense of connection to nature</w:t>
      </w:r>
      <w:r>
        <w:t>.</w:t>
      </w:r>
    </w:p>
    <w:p w:rsidR="00EA4A4E" w:rsidRDefault="00CA3453">
      <w:pPr>
        <w:numPr>
          <w:ilvl w:val="0"/>
          <w:numId w:val="3"/>
        </w:numPr>
      </w:pPr>
      <w:r>
        <w:t xml:space="preserve">While </w:t>
      </w:r>
      <w:r>
        <w:rPr>
          <w:b/>
        </w:rPr>
        <w:t>soci</w:t>
      </w:r>
      <w:r>
        <w:rPr>
          <w:b/>
        </w:rPr>
        <w:t>al cohesion</w:t>
      </w:r>
      <w:r>
        <w:t xml:space="preserve"> and </w:t>
      </w:r>
      <w:r>
        <w:rPr>
          <w:b/>
        </w:rPr>
        <w:t>a sense of community</w:t>
      </w:r>
      <w:r>
        <w:t xml:space="preserve"> were </w:t>
      </w:r>
      <w:r>
        <w:rPr>
          <w:b/>
        </w:rPr>
        <w:t>significantly higher</w:t>
      </w:r>
      <w:r>
        <w:t xml:space="preserve"> among the GUI members, responses from non-GUI members to these scales were about </w:t>
      </w:r>
      <w:r>
        <w:rPr>
          <w:b/>
        </w:rPr>
        <w:t>their neighborhood rather than about GUI</w:t>
      </w:r>
      <w:r>
        <w:t xml:space="preserve">. Therefore, this study </w:t>
      </w:r>
      <w:r>
        <w:rPr>
          <w:b/>
        </w:rPr>
        <w:t>cannot confirm</w:t>
      </w:r>
      <w:r>
        <w:t xml:space="preserve"> that GUI members have a higher se</w:t>
      </w:r>
      <w:r>
        <w:t>nse of community and social cohesion compared to the ones non-GUI group has.</w:t>
      </w:r>
    </w:p>
    <w:p w:rsidR="00AB5355" w:rsidRDefault="00AB5355">
      <w:pPr>
        <w:pStyle w:val="Fir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5E563C">
            <wp:simplePos x="0" y="0"/>
            <wp:positionH relativeFrom="column">
              <wp:posOffset>819509</wp:posOffset>
            </wp:positionH>
            <wp:positionV relativeFrom="paragraph">
              <wp:posOffset>0</wp:posOffset>
            </wp:positionV>
            <wp:extent cx="4580255" cy="3663950"/>
            <wp:effectExtent l="0" t="0" r="4445" b="6350"/>
            <wp:wrapTight wrapText="bothSides">
              <wp:wrapPolygon edited="0">
                <wp:start x="0" y="0"/>
                <wp:lineTo x="0" y="21563"/>
                <wp:lineTo x="21561" y="21563"/>
                <wp:lineTo x="21561" y="0"/>
                <wp:lineTo x="0" y="0"/>
              </wp:wrapPolygon>
            </wp:wrapTight>
            <wp:docPr id="2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-chap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355" w:rsidRDefault="00AB5355">
      <w:pPr>
        <w:pStyle w:val="FirstParagraph"/>
      </w:pPr>
    </w:p>
    <w:p w:rsidR="00EA4A4E" w:rsidRDefault="00EA4A4E">
      <w:pPr>
        <w:pStyle w:val="FirstParagraph"/>
      </w:pPr>
    </w:p>
    <w:p w:rsidR="00AB5355" w:rsidRDefault="00AB5355">
      <w:pPr>
        <w:pStyle w:val="BodyText"/>
      </w:pPr>
      <w:bookmarkStart w:id="3" w:name="gphcafhefx"/>
      <w:bookmarkEnd w:id="3"/>
    </w:p>
    <w:p w:rsidR="00AB5355" w:rsidRDefault="00AB5355">
      <w:pPr>
        <w:pStyle w:val="BodyText"/>
      </w:pPr>
    </w:p>
    <w:p w:rsidR="00AB5355" w:rsidRDefault="00AB5355">
      <w:r w:rsidRPr="00AB5355">
        <w:drawing>
          <wp:anchor distT="0" distB="0" distL="114300" distR="114300" simplePos="0" relativeHeight="251658240" behindDoc="1" locked="0" layoutInCell="1" allowOverlap="1" wp14:anchorId="497C56CA">
            <wp:simplePos x="0" y="0"/>
            <wp:positionH relativeFrom="column">
              <wp:posOffset>216535</wp:posOffset>
            </wp:positionH>
            <wp:positionV relativeFrom="paragraph">
              <wp:posOffset>2090365</wp:posOffset>
            </wp:positionV>
            <wp:extent cx="5132345" cy="282004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45" cy="282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A4A4E" w:rsidRDefault="00EA4A4E">
      <w:pPr>
        <w:pStyle w:val="BodyText"/>
      </w:pPr>
    </w:p>
    <w:sectPr w:rsidR="00EA4A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3453" w:rsidRDefault="00CA3453">
      <w:pPr>
        <w:spacing w:after="0"/>
      </w:pPr>
      <w:r>
        <w:separator/>
      </w:r>
    </w:p>
  </w:endnote>
  <w:endnote w:type="continuationSeparator" w:id="0">
    <w:p w:rsidR="00CA3453" w:rsidRDefault="00CA3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3453" w:rsidRDefault="00CA3453">
      <w:r>
        <w:separator/>
      </w:r>
    </w:p>
  </w:footnote>
  <w:footnote w:type="continuationSeparator" w:id="0">
    <w:p w:rsidR="00CA3453" w:rsidRDefault="00CA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38CA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304D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4739"/>
    <w:rsid w:val="00784D58"/>
    <w:rsid w:val="008415E4"/>
    <w:rsid w:val="008D6863"/>
    <w:rsid w:val="00AB5355"/>
    <w:rsid w:val="00B86B75"/>
    <w:rsid w:val="00BC48D5"/>
    <w:rsid w:val="00C36279"/>
    <w:rsid w:val="00CA3453"/>
    <w:rsid w:val="00E315A3"/>
    <w:rsid w:val="00EA4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180B"/>
  <w15:docId w15:val="{11F3381B-81D3-0741-97A0-F139259B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Yohei Kato</dc:creator>
  <cp:keywords/>
  <cp:lastModifiedBy>Yohei Kato</cp:lastModifiedBy>
  <cp:revision>3</cp:revision>
  <dcterms:created xsi:type="dcterms:W3CDTF">2020-06-09T06:05:00Z</dcterms:created>
  <dcterms:modified xsi:type="dcterms:W3CDTF">2020-06-09T06:23:00Z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