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LSC表存储技术</w:t>
      </w:r>
    </w:p>
    <w:p>
      <w:r>
        <w:drawing>
          <wp:inline distT="0" distB="0" distL="114300" distR="114300">
            <wp:extent cx="5268595" cy="328612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LSC</w:t>
      </w:r>
      <w:r>
        <w:rPr>
          <w:rFonts w:hint="default"/>
          <w:lang w:val="en-US" w:eastAsia="zh-CN"/>
        </w:rPr>
        <w:t xml:space="preserve">(Large-scale Storage Columnar, </w:t>
      </w:r>
      <w:r>
        <w:rPr>
          <w:rFonts w:hint="eastAsia"/>
          <w:lang w:val="en-US" w:eastAsia="zh-CN"/>
        </w:rPr>
        <w:t>大规模列式存储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表数据分为两部分，MCOL（Multable Columnar，可变的列式存储）和SCOL（Stable Columnar， 稳态的列式存储）。MCOL存储支持数据的实时更新删除，较为适合热数据的使用场景。SCOL存储支持数据压缩和编码，具有较好的存储归档能力，适合用于存储冷数据。数据流入LSC表的流程有两种形式，方式1是热转冷的形式，数据先写入可变列式存储区，当数据经过一段时间达到稳态，变动可能性较小时，可以通过一定的转换规则，生成转换任务并进行后台转换。方式2是直接生成冷数据，数据（通常是CSV文件）通过导入工具走BULKLOAD的形式直接生成稳态列式存储数据。方式1具有较好的修改灵活性，适合存储业务运行过程中增量产生的数据，</w:t>
      </w:r>
      <w:bookmarkStart w:id="0" w:name="_GoBack"/>
      <w:bookmarkEnd w:id="0"/>
      <w:r>
        <w:rPr>
          <w:rFonts w:hint="eastAsia"/>
          <w:lang w:val="en-US" w:eastAsia="zh-CN"/>
        </w:rPr>
        <w:t>缺点是导入速度较慢，且有转换开销。方式2具有较好的导入性能，且没有热转冷的转换开销，但是数据导入后不支持修改，适合首次建库时导入已有数据的场景使用。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MCOL存储形式与行式存储都是用段页式存储结构，通过Segment管理存储的数据。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SCOL存储形式为对象存储，通过本地文件存储，未来还将支持云存储（如S3对象存储）及加速数据（如访问约束）的存储。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9FA8FB"/>
    <w:multiLevelType w:val="singleLevel"/>
    <w:tmpl w:val="389FA8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19702899"/>
    <w:rsid w:val="17B03FBF"/>
    <w:rsid w:val="19702899"/>
    <w:rsid w:val="3D27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2022-08-07T13:54:00Z</dcterms:created>
  <dc:creator>蓝色瞬间</dc:creator>
  <cp:lastModifiedBy>蓝色瞬间</cp:lastModifiedBy>
  <dcterms:modified xsi:type="dcterms:W3CDTF">2022-08-07T15:06:12Z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5C24F941524A4173A27C5E9809FFDC7D</vt:lpwstr>
  </property>
</Properties>
</file>