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标题标签&lt;h1&gt;—&lt;h6&gt;：作为标题使用，并且依据重要性递减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段落标签&lt;p&gt;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文本格式化标签：为文字设置粗体、斜体、下划线等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布局标签&lt;div&gt;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根目录：打开目录文件夹的第一层就是根目录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相对路径：以引用文件所在位置为参考建立出的目录路径。如：images/XXX.jpg编程常用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绝对路径：目录下的绝对位置，通常从盘符开始。如C:\User\XXX\XX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  <w:t>外部链接：必须以http://开头，如&lt;a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  <w:t>内部链接：网站内部页面之间的相互链接，&lt;a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  <w:t>空链接：&lt;a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  <w:t>下载链接：若url地址指向的是一个文件或压缩包，点击后将下载文件。&lt;a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  <w:t>网页元素链接：在网页中的各种元素如文本、图像、表格、音频、视频等都可以添加超链接。&lt;a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  <w:t>锚点链接：点击锚点链接可以快速定位到页面的某个位置。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F633F"/>
    <w:rsid w:val="0F7B28EE"/>
    <w:rsid w:val="374A4AE9"/>
    <w:rsid w:val="51736BF8"/>
    <w:rsid w:val="5FD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2021-06-03T14:15:43Z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ICV">
    <vt:lpwstr>48FA4A5CA88B48828BCAF2F2F26D25B1</vt:lpwstr>
  </property>
</Properties>
</file>