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9E032F1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9BB602C"/>
    <w:rsid w:val="6E914669"/>
    <w:rsid w:val="735F7A00"/>
    <w:rsid w:val="73B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2021-07-25T08:16:38Z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48FA4A5CA88B48828BCAF2F2F26D25B1</vt:lpwstr>
  </property>
</Properties>
</file>