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87"/>
        <w:ind w:firstLine="993"/>
        <w:jc w:val="left"/>
        <w:rPr>
          <w:rFonts w:ascii="Times New Roman" w:hAnsi="Times New Roman" w:cs="Times New Roman"/>
          <w:szCs w:val="20"/>
        </w:rPr>
      </w:pPr>
      <w:r>
        <w:rPr/>
        <mc:AlternateContent>
          <mc:Choice Requires="wpg">
            <w:drawing>
              <wp:inline distT="0" distB="0" distL="0" distR="0">
                <wp:extent cx="2680335" cy="107315"/>
                <wp:effectExtent l="0" t="0" r="12065" b="0"/>
                <wp:docPr id="1" name="Group 11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200" cy="107280"/>
                          <a:chOff x="0" y="0"/>
                          <a:chExt cx="2680200" cy="107280"/>
                        </a:xfrm>
                      </wpg:grpSpPr>
                      <wps:wsp>
                        <wps:cNvPr id="2" name="Shape 7"/>
                        <wps:cNvSpPr/>
                        <wps:spPr>
                          <a:xfrm>
                            <a:off x="0" y="0"/>
                            <a:ext cx="26802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60000" h="0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166" style="position:absolute;margin-left:0pt;margin-top:-8.5pt;width:211.05pt;height:8.45pt" coordorigin="0,-170" coordsize="4221,169"/>
            </w:pict>
          </mc:Fallback>
        </mc:AlternateContent>
      </w:r>
    </w:p>
    <w:p>
      <w:pPr>
        <w:pStyle w:val="Heading1"/>
        <w:rPr>
          <w:rFonts w:ascii="Times New Roman" w:hAnsi="Times New Roman" w:cs="Times New Roman"/>
          <w:b/>
          <w:szCs w:val="24"/>
          <w:lang w:val="ru-RU"/>
        </w:rPr>
      </w:pPr>
      <w:r>
        <w:rPr>
          <w:rFonts w:cs="Times New Roman" w:ascii="Times New Roman" w:hAnsi="Times New Roman"/>
          <w:b/>
          <w:szCs w:val="24"/>
          <w:lang w:val="ru-RU"/>
        </w:rPr>
        <w:t>Распознавание и решение судоку</w:t>
      </w:r>
    </w:p>
    <w:p>
      <w:pPr>
        <w:pStyle w:val="Normal"/>
        <w:spacing w:lineRule="auto" w:line="259" w:before="0" w:after="143"/>
        <w:ind w:hanging="0"/>
        <w:jc w:val="center"/>
        <w:rPr>
          <w:rFonts w:ascii="Times New Roman" w:hAnsi="Times New Roman" w:cs="Times New Roman"/>
          <w:bCs/>
          <w:iCs/>
          <w:szCs w:val="20"/>
          <w:lang w:val="ru-RU"/>
        </w:rPr>
      </w:pPr>
      <w:r>
        <w:rPr>
          <w:rFonts w:cs="Times New Roman" w:ascii="Times New Roman" w:hAnsi="Times New Roman"/>
          <w:bCs/>
          <w:iCs/>
          <w:szCs w:val="20"/>
          <w:lang w:val="ru-RU"/>
        </w:rPr>
        <w:t>Чернов Дмитрий Андреевич</w:t>
      </w:r>
      <w:r>
        <w:rPr>
          <w:rFonts w:cs="Times New Roman" w:ascii="Times New Roman" w:hAnsi="Times New Roman"/>
          <w:bCs/>
          <w:iCs/>
          <w:szCs w:val="20"/>
          <w:lang w:val="ru-RU"/>
        </w:rPr>
        <w:t>*,</w:t>
      </w:r>
      <w:r>
        <w:rPr>
          <w:rFonts w:cs="Times New Roman" w:ascii="Times New Roman" w:hAnsi="Times New Roman"/>
          <w:bCs/>
          <w:iCs/>
          <w:szCs w:val="20"/>
          <w:lang w:val="ru-RU"/>
        </w:rPr>
        <w:t xml:space="preserve">  Панков Алексей Константинович,</w:t>
        <w:br/>
      </w:r>
      <w:r>
        <w:rPr>
          <w:rFonts w:cs="Times New Roman" w:ascii="Times New Roman" w:hAnsi="Times New Roman"/>
          <w:bCs/>
          <w:iCs/>
          <w:szCs w:val="20"/>
          <w:lang w:val="ru-RU"/>
        </w:rPr>
        <w:t>Е</w:t>
      </w:r>
      <w:r>
        <w:rPr>
          <w:rFonts w:cs="Times New Roman" w:ascii="Times New Roman" w:hAnsi="Times New Roman"/>
          <w:bCs/>
          <w:iCs/>
          <w:szCs w:val="20"/>
          <w:lang w:val="ru-RU"/>
        </w:rPr>
        <w:t>рмаков Руслан Игоревич</w:t>
      </w:r>
      <w:r>
        <w:rPr>
          <w:rFonts w:cs="Times New Roman" w:ascii="Times New Roman" w:hAnsi="Times New Roman"/>
          <w:bCs/>
          <w:i/>
          <w:iCs/>
          <w:szCs w:val="20"/>
          <w:lang w:val="ru-RU"/>
        </w:rPr>
        <w:br/>
        <w:t>НИЯУ МИФ</w:t>
      </w:r>
      <w:r>
        <w:rPr>
          <w:rFonts w:cs="Times New Roman" w:ascii="Times New Roman" w:hAnsi="Times New Roman"/>
          <w:bCs/>
          <w:i/>
          <w:iCs/>
          <w:szCs w:val="20"/>
          <w:lang w:val="ru-RU"/>
        </w:rPr>
        <w:t>И</w:t>
        <w:br/>
      </w:r>
      <w:r>
        <w:rPr>
          <w:rFonts w:cs="Times New Roman" w:ascii="Times New Roman" w:hAnsi="Times New Roman"/>
          <w:bCs/>
          <w:i w:val="false"/>
          <w:iCs w:val="false"/>
          <w:szCs w:val="20"/>
          <w:lang w:val="ru-RU"/>
        </w:rPr>
        <w:t>*e-mail: science@mionch.net</w:t>
      </w:r>
    </w:p>
    <w:p>
      <w:pPr>
        <w:pStyle w:val="Normal"/>
        <w:spacing w:lineRule="auto" w:line="259" w:before="0" w:after="280"/>
        <w:ind w:hanging="0"/>
        <w:jc w:val="center"/>
        <w:rPr>
          <w:rFonts w:ascii="Times New Roman" w:hAnsi="Times New Roman" w:cs="Times New Roman"/>
          <w:b/>
          <w:szCs w:val="20"/>
          <w:lang w:val="ru-RU"/>
        </w:rPr>
      </w:pPr>
      <w:r>
        <w:rPr>
          <w:rFonts w:cs="Times New Roman" w:ascii="Times New Roman" w:hAnsi="Times New Roman"/>
          <w:b/>
          <w:szCs w:val="20"/>
          <w:lang w:val="ru-RU"/>
        </w:rPr>
        <w:t>Аннотация</w:t>
      </w:r>
    </w:p>
    <w:p>
      <w:pPr>
        <w:pStyle w:val="Normal"/>
        <w:spacing w:lineRule="auto" w:line="240" w:before="0" w:after="0"/>
        <w:ind w:left="200" w:hanging="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Проблема</w:t>
      </w:r>
      <w:r>
        <w:rPr>
          <w:rFonts w:cs="Times New Roman" w:ascii="Times New Roman" w:hAnsi="Times New Roman"/>
          <w:szCs w:val="20"/>
          <w:lang w:val="ru-RU"/>
        </w:rPr>
        <w:t xml:space="preserve"> </w:t>
      </w:r>
      <w:r>
        <w:rPr>
          <w:rFonts w:cs="Times New Roman" w:ascii="Times New Roman" w:hAnsi="Times New Roman"/>
          <w:szCs w:val="20"/>
          <w:lang w:val="ru-RU"/>
        </w:rPr>
        <w:t>улучшения качества работы систем компьютерного зрения с неоптимальными углами обзора рассмотрена в данной работе на примере приложения для решения судоку.  Разработан алгоритм  афинного преобразования изображений, исследована эффективность различных моделей нейросетей.</w:t>
      </w:r>
    </w:p>
    <w:p>
      <w:pPr>
        <w:pStyle w:val="Normal"/>
        <w:spacing w:lineRule="auto" w:line="240" w:before="0" w:after="0"/>
        <w:ind w:left="200" w:hanging="0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</w:r>
    </w:p>
    <w:p>
      <w:pPr>
        <w:pStyle w:val="Normal"/>
        <w:spacing w:lineRule="auto" w:line="240" w:before="0" w:after="0"/>
        <w:ind w:left="202" w:right="0" w:hanging="0"/>
        <w:rPr/>
      </w:pPr>
      <w:r>
        <w:rPr>
          <w:rFonts w:cs="Times New Roman" w:ascii="Times New Roman" w:hAnsi="Times New Roman"/>
          <w:iCs/>
          <w:szCs w:val="20"/>
          <w:lang w:val="ru-RU"/>
        </w:rPr>
        <w:t>Ключевые слова: Компьютерное зрение, цифровая обработка</w:t>
        <w:br/>
        <w:t>изображений,  машинное обучение.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iCs/>
          <w:szCs w:val="20"/>
          <w:lang w:val="ru-RU"/>
        </w:rPr>
      </w:pPr>
      <w:r>
        <w:rPr/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iCs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В последние десятилетия компьютерное зрение позволяет решать всё более широкий спектр задач, включая, среди прочего, распознавание лиц, создание 3D моделей объектов по видео</w:t>
      </w:r>
      <w:r>
        <w:rPr>
          <w:rFonts w:cs="Times New Roman" w:ascii="Times New Roman" w:hAnsi="Times New Roman"/>
          <w:szCs w:val="20"/>
          <w:lang w:val="ru-RU"/>
        </w:rPr>
        <w:t xml:space="preserve"> и </w:t>
      </w:r>
      <w:r>
        <w:rPr>
          <w:rFonts w:cs="Times New Roman" w:ascii="Times New Roman" w:hAnsi="Times New Roman"/>
          <w:szCs w:val="20"/>
          <w:lang w:val="ru-RU"/>
        </w:rPr>
        <w:t>воссоздание сцен из панорамной съёмки [1].</w:t>
      </w:r>
      <w:r>
        <w:rPr>
          <w:rFonts w:cs="Times New Roman" w:ascii="Times New Roman" w:hAnsi="Times New Roman"/>
          <w:szCs w:val="20"/>
          <w:lang w:val="ru-RU"/>
        </w:rPr>
        <w:t xml:space="preserve"> </w:t>
      </w:r>
      <w:r>
        <w:rPr>
          <w:rFonts w:cs="Times New Roman" w:ascii="Times New Roman" w:hAnsi="Times New Roman"/>
          <w:szCs w:val="20"/>
          <w:lang w:val="ru-RU"/>
        </w:rPr>
        <w:t>Одной из важнейших проблем в этой области является распознавание сложных объектов в трёхмерном пространстве [2]. Целью проекта является поиск способов оптимизации работы нейросетей в сложных для работы нейросетей условиях. Данная тема была рассмотрена на примере задачи создания приложения для автоматичекого распознавания и решения судоку.</w:t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iCs/>
          <w:szCs w:val="20"/>
          <w:lang w:val="ru-RU"/>
        </w:rPr>
      </w:pPr>
      <w:r>
        <w:rPr/>
      </w:r>
    </w:p>
    <w:p>
      <w:pPr>
        <w:pStyle w:val="Normal"/>
        <w:spacing w:lineRule="auto" w:line="240" w:before="0" w:after="0"/>
        <w:ind w:firstLine="284"/>
        <w:rPr>
          <w:rFonts w:ascii="Times New Roman" w:hAnsi="Times New Roman" w:cs="Times New Roman"/>
          <w:iCs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Для точного определения границ  различных сегментов, из которых состоит объект, в работе использовалась комбинация настройки резкости изображения, преобразований Хафа и выборочного пересечения и усреднения распознанных прямых. Было произведено исследование эффективности различных типов и структур нейросетей для обработки полученных данных [3]. Модели были обучены на наборе данных MNIST с вычислением ошибки  методом категориальной кроссэнтропии и протестированы на комбинации из 100 изображений судоку с помехами в виде искажения углов обзора, низкого разрешения и посторонних полупрозрачных элементов на распознаваемом объекте. Для демонстрации эффективности указанных методов создан интерфейс в виде Telegram бота для решения судоку.</w:t>
      </w:r>
    </w:p>
    <w:p>
      <w:pPr>
        <w:pStyle w:val="Normal"/>
        <w:tabs>
          <w:tab w:val="clear" w:pos="720"/>
          <w:tab w:val="center" w:pos="3135" w:leader="none"/>
          <w:tab w:val="right" w:pos="6236" w:leader="none"/>
        </w:tabs>
        <w:spacing w:lineRule="auto" w:line="259" w:before="0" w:after="270"/>
        <w:ind w:hanging="0"/>
        <w:jc w:val="center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ab/>
        <w:br/>
      </w:r>
      <w:r>
        <w:rPr>
          <w:rFonts w:cs="Times New Roman" w:ascii="Times New Roman" w:hAnsi="Times New Roman"/>
          <w:sz w:val="16"/>
          <w:szCs w:val="16"/>
          <w:lang w:val="ru-RU"/>
        </w:rPr>
        <w:t xml:space="preserve">Таблица 1: </w:t>
      </w:r>
      <w:r>
        <w:rPr>
          <w:rFonts w:cs="Times New Roman" w:ascii="Times New Roman" w:hAnsi="Times New Roman"/>
          <w:sz w:val="16"/>
          <w:szCs w:val="16"/>
          <w:lang w:val="ru-RU"/>
        </w:rPr>
        <w:t>Результат работы различных моделей нейросетей</w:t>
      </w:r>
    </w:p>
    <w:tbl>
      <w:tblPr>
        <w:tblStyle w:val="8"/>
        <w:tblW w:w="6409" w:type="dxa"/>
        <w:jc w:val="left"/>
        <w:tblInd w:w="-56" w:type="dxa"/>
        <w:tblLayout w:type="fixed"/>
        <w:tblCellMar>
          <w:top w:w="33" w:type="dxa"/>
          <w:left w:w="120" w:type="dxa"/>
          <w:bottom w:w="0" w:type="dxa"/>
          <w:right w:w="115" w:type="dxa"/>
        </w:tblCellMar>
      </w:tblPr>
      <w:tblGrid>
        <w:gridCol w:w="2018"/>
        <w:gridCol w:w="1977"/>
        <w:gridCol w:w="2414"/>
      </w:tblGrid>
      <w:tr>
        <w:trPr>
          <w:trHeight w:val="247" w:hRule="atLeast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Вид нейросети</w:t>
            </w:r>
          </w:p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Точность (классификация)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Точность (распознавание чисел)</w:t>
            </w:r>
          </w:p>
        </w:tc>
      </w:tr>
      <w:tr>
        <w:trPr>
          <w:trHeight w:val="247" w:hRule="atLeast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Многоуровневый перцептрон</w:t>
            </w:r>
          </w:p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0.87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0.91</w:t>
            </w:r>
          </w:p>
        </w:tc>
      </w:tr>
      <w:tr>
        <w:trPr>
          <w:trHeight w:val="247" w:hRule="atLeast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Случайный лес (Random Forest)</w:t>
            </w:r>
          </w:p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0.96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0.94</w:t>
            </w:r>
          </w:p>
        </w:tc>
      </w:tr>
      <w:tr>
        <w:trPr>
          <w:trHeight w:val="247" w:hRule="atLeast"/>
        </w:trPr>
        <w:tc>
          <w:tcPr>
            <w:tcW w:w="2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Свёрточная (CNN)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0.95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kern w:val="0"/>
                <w:szCs w:val="20"/>
              </w:rPr>
              <w:t>0.98</w:t>
            </w:r>
          </w:p>
        </w:tc>
      </w:tr>
    </w:tbl>
    <w:p>
      <w:pPr>
        <w:pStyle w:val="Normal"/>
        <w:tabs>
          <w:tab w:val="clear" w:pos="720"/>
          <w:tab w:val="center" w:pos="3135" w:leader="none"/>
          <w:tab w:val="right" w:pos="6236" w:leader="none"/>
        </w:tabs>
        <w:spacing w:lineRule="auto" w:line="259" w:before="0" w:after="270"/>
        <w:ind w:hanging="0"/>
        <w:jc w:val="center"/>
        <w:rPr>
          <w:rFonts w:ascii="Times New Roman" w:hAnsi="Times New Roman" w:cs="Times New Roman"/>
          <w:szCs w:val="20"/>
          <w:lang w:val="ru-RU"/>
        </w:rPr>
      </w:pPr>
      <w:r>
        <w:rPr/>
      </w:r>
    </w:p>
    <w:p>
      <w:pPr>
        <w:pStyle w:val="Normal"/>
        <w:spacing w:before="0" w:after="126"/>
        <w:ind w:left="-15" w:firstLine="289"/>
        <w:rPr>
          <w:rFonts w:ascii="Times New Roman" w:hAnsi="Times New Roman" w:cs="Times New Roman"/>
          <w:szCs w:val="20"/>
          <w:lang w:val="ru-RU"/>
        </w:rPr>
      </w:pPr>
      <w:r>
        <w:rPr>
          <w:rFonts w:cs="Times New Roman" w:ascii="Times New Roman" w:hAnsi="Times New Roman"/>
          <w:szCs w:val="20"/>
          <w:lang w:val="ru-RU"/>
        </w:rPr>
        <w:t>Из результатов, представленных в таблице 1, сделан вывод, что несмотря на небольшое отставание в точности классификации, разработанная модель свёрточной нейронной сети является более надёжной в случае использования для распознавания объектов в сложных трёхмерных пространствах.</w:t>
      </w:r>
    </w:p>
    <w:sdt>
      <w:sdtPr>
        <w:docPartObj>
          <w:docPartGallery w:val="AutoText"/>
        </w:docPartObj>
        <w:id w:val="254121199"/>
      </w:sdtPr>
      <w:sdtContent>
        <w:p>
          <w:pPr>
            <w:pStyle w:val="Heading1"/>
            <w:rPr>
              <w:rFonts w:ascii="Times New Roman" w:hAnsi="Times New Roman" w:cs="Times New Roman"/>
              <w:b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="Times New Roman" w:ascii="Times New Roman" w:hAnsi="Times New Roman"/>
              <w:b/>
              <w:color w:val="000000" w:themeColor="text1"/>
              <w:sz w:val="20"/>
              <w:lang w:val="ru-RU"/>
              <w14:textFill>
                <w14:solidFill>
                  <w14:schemeClr w14:val="tx1"/>
                </w14:solidFill>
              </w14:textFill>
            </w:rPr>
            <w:t>Список</w:t>
          </w:r>
          <w:r>
            <w:rPr>
              <w:rFonts w:cs="Times New Roman" w:ascii="Times New Roman" w:hAnsi="Times New Roman"/>
              <w:b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cs="Times New Roman" w:ascii="Times New Roman" w:hAnsi="Times New Roman"/>
              <w:b/>
              <w:color w:val="000000" w:themeColor="text1"/>
              <w:sz w:val="20"/>
              <w:lang w:val="ru-RU"/>
              <w14:textFill>
                <w14:solidFill>
                  <w14:schemeClr w14:val="tx1"/>
                </w14:solidFill>
              </w14:textFill>
            </w:rPr>
            <w:t>литературы</w:t>
          </w:r>
        </w:p>
        <w:p>
          <w:pPr>
            <w:pStyle w:val="Normal"/>
            <w:rPr/>
          </w:pPr>
          <w:r>
            <w:rPr>
              <w:b w:val="false"/>
              <w:bCs w:val="false"/>
            </w:rPr>
            <w:t xml:space="preserve">1. </w:t>
          </w:r>
          <w:r>
            <w:rPr>
              <w:b/>
              <w:bCs/>
            </w:rPr>
            <w:t>Shreyas E. et al</w:t>
          </w:r>
          <w:r>
            <w:rPr/>
            <w:t>. 3D object detection and tracking methods using deep learning for computer vision applications //2021 International Conference on Recent Trends on Electronics, Information, Communication &amp; Technology (RTEICT). – IEEE, 2021. – С. 735-738.</w:t>
          </w:r>
        </w:p>
        <w:p>
          <w:pPr>
            <w:pStyle w:val="Normal"/>
            <w:rPr/>
          </w:pPr>
          <w:r>
            <w:rPr>
              <w:b w:val="false"/>
              <w:bCs w:val="false"/>
            </w:rPr>
            <w:t xml:space="preserve">2. </w:t>
          </w:r>
          <w:r>
            <w:rPr>
              <w:b/>
              <w:bCs/>
            </w:rPr>
            <w:t>Szeliski R</w:t>
          </w:r>
          <w:r>
            <w:rPr/>
            <w:t>. Computer vision: algorithms and applications. – Springer Nature, 2022.</w:t>
          </w:r>
        </w:p>
        <w:p>
          <w:pPr>
            <w:pStyle w:val="Normal"/>
            <w:spacing w:before="0" w:after="15"/>
            <w:rPr/>
          </w:pPr>
          <w:r>
            <w:rPr/>
            <w:t xml:space="preserve">3. </w:t>
          </w:r>
          <w:r>
            <w:rPr>
              <w:b/>
              <w:bCs/>
            </w:rPr>
            <w:t>Mukhopadhyay P., Chaudhuri B. B</w:t>
          </w:r>
          <w:r>
            <w:rPr/>
            <w:t>. A survey of Hough Transform //Pattern Recognition. – 2015. – Т. 48. – №. 3. – С. 993-1010.</w:t>
          </w:r>
        </w:p>
      </w:sdtContent>
    </w:sdt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8391" w:h="11906"/>
      <w:pgMar w:left="1077" w:right="1077" w:gutter="0" w:header="720" w:top="879" w:footer="720" w:bottom="777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IBM Plex Sans">
    <w:charset w:val="01"/>
    <w:family w:val="roman"/>
    <w:pitch w:val="variable"/>
  </w:font>
  <w:font w:name="Calibri">
    <w:charset w:val="01"/>
    <w:family w:val="roman"/>
    <w:pitch w:val="variable"/>
  </w:font>
  <w:font w:name="IBM Plex Sans"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387828103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2</w:t>
        </w:r>
        <w:r>
          <w:rPr>
            <w:rFonts w:cs="Times New Roman" w:ascii="Times New Roman" w:hAnsi="Times New Roman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caps/>
        <w:color w:val="000000" w:themeColor="text1"/>
        <w14:textFill>
          <w14:solidFill>
            <w14:schemeClr w14:val="tx1"/>
          </w14:solidFill>
        </w14:textFill>
      </w:rPr>
    </w:pPr>
    <w:r>
      <w:rPr>
        <w:rFonts w:cs="Times New Roman" w:ascii="Times New Roman" w:hAnsi="Times New Roman"/>
        <w:caps/>
        <w:color w:val="000000" w:themeColor="text1"/>
        <w14:textFill>
          <w14:solidFill>
            <w14:schemeClr w14:val="tx1"/>
          </w14:solidFill>
        </w14:textFill>
      </w:rPr>
      <w:fldChar w:fldCharType="begin"/>
    </w:r>
    <w:r>
      <w:rPr>
        <w:caps/>
        <w:rFonts w:cs="Times New Roman" w:ascii="Times New Roman" w:hAnsi="Times New Roman"/>
        <w:color w:val="000000"/>
      </w:rPr>
      <w:instrText xml:space="preserve"> PAGE </w:instrText>
    </w:r>
    <w:r>
      <w:rPr>
        <w:caps/>
        <w:rFonts w:cs="Times New Roman" w:ascii="Times New Roman" w:hAnsi="Times New Roman"/>
        <w:color w:val="000000"/>
      </w:rPr>
      <w:fldChar w:fldCharType="separate"/>
    </w:r>
    <w:r>
      <w:rPr>
        <w:caps/>
        <w:rFonts w:cs="Times New Roman" w:ascii="Times New Roman" w:hAnsi="Times New Roman"/>
        <w:color w:val="000000"/>
      </w:rPr>
      <w:t>1</w:t>
    </w:r>
    <w:r>
      <w:rPr>
        <w:caps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center"/>
      <w:rPr>
        <w:rFonts w:ascii="Times New Roman" w:hAnsi="Times New Roman" w:eastAsia="Times New Roman" w:cs="Times New Roman"/>
        <w:color w:val="auto"/>
        <w:szCs w:val="20"/>
        <w:lang w:val="ru-RU" w:eastAsia="ru-RU"/>
      </w:rPr>
    </w:pPr>
    <w:r>
      <w:rPr>
        <w:rFonts w:eastAsia="Times New Roman" w:cs="Times New Roman" w:ascii="Times New Roman" w:hAnsi="Times New Roman"/>
        <w:color w:val="333333"/>
        <w:szCs w:val="20"/>
        <w:shd w:fill="FFFFFF" w:val="clear"/>
        <w:lang w:val="ru-RU" w:eastAsia="ru-RU"/>
      </w:rPr>
      <w:t>I</w:t>
    </w:r>
    <w:r>
      <w:rPr>
        <w:rFonts w:eastAsia="Times New Roman" w:cs="Times New Roman" w:ascii="Times New Roman" w:hAnsi="Times New Roman"/>
        <w:color w:val="333333"/>
        <w:szCs w:val="20"/>
        <w:shd w:fill="FFFFFF" w:val="clear"/>
        <w:lang w:eastAsia="ru-RU"/>
      </w:rPr>
      <w:t>I</w:t>
    </w:r>
    <w:r>
      <w:rPr>
        <w:rFonts w:eastAsia="Times New Roman" w:cs="Times New Roman" w:ascii="Times New Roman" w:hAnsi="Times New Roman"/>
        <w:color w:val="333333"/>
        <w:szCs w:val="20"/>
        <w:shd w:fill="FFFFFF" w:val="clear"/>
        <w:lang w:val="ru-RU" w:eastAsia="ru-RU"/>
      </w:rPr>
      <w:t>I</w:t>
    </w:r>
    <w:r>
      <w:rPr>
        <w:rFonts w:eastAsia="Times New Roman" w:cs="Times New Roman" w:ascii="Times New Roman" w:hAnsi="Times New Roman"/>
        <w:color w:val="auto"/>
        <w:szCs w:val="20"/>
        <w:lang w:val="ru-RU" w:eastAsia="ru-RU"/>
      </w:rPr>
      <w:t xml:space="preserve"> Зимняя </w:t>
    </w:r>
    <w:r>
      <w:rPr>
        <w:rFonts w:cs="Times New Roman" w:ascii="Times New Roman" w:hAnsi="Times New Roman"/>
        <w:color w:val="000000" w:themeColor="text1"/>
        <w:lang w:val="ru-RU"/>
        <w14:textFill>
          <w14:solidFill>
            <w14:schemeClr w14:val="tx1"/>
          </w14:solidFill>
        </w14:textFill>
      </w:rPr>
      <w:t xml:space="preserve">научная сессия СНО НИЯУ МИФИ </w:t>
    </w:r>
    <w:r>
      <w:rPr>
        <w:rFonts w:eastAsia="Times New Roman" w:cs="Times New Roman" w:ascii="Roboto" w:hAnsi="Roboto"/>
        <w:szCs w:val="20"/>
        <w:shd w:fill="FFFFFF" w:val="clear"/>
        <w:lang w:val="ru-RU" w:eastAsia="ru-RU"/>
      </w:rPr>
      <w:t>—</w:t>
    </w:r>
    <w:r>
      <w:rPr>
        <w:rFonts w:eastAsia="Times New Roman" w:cs="Times New Roman" w:ascii="Times New Roman" w:hAnsi="Times New Roman"/>
        <w:color w:val="auto"/>
        <w:sz w:val="24"/>
        <w:szCs w:val="24"/>
        <w:lang w:val="ru-RU" w:eastAsia="ru-RU"/>
      </w:rPr>
      <w:t xml:space="preserve"> </w:t>
    </w:r>
    <w:r>
      <w:rPr>
        <w:rFonts w:cs="Times New Roman" w:ascii="Times New Roman" w:hAnsi="Times New Roman"/>
        <w:color w:val="000000" w:themeColor="text1"/>
        <w:lang w:val="ru-RU"/>
        <w14:textFill>
          <w14:solidFill>
            <w14:schemeClr w14:val="tx1"/>
          </w14:solidFill>
        </w14:textFill>
      </w:rPr>
      <w:t>2023</w:t>
    </w:r>
    <w:r>
      <w:rPr>
        <w:rFonts w:cs="Times New Roman" w:ascii="Times New Roman" w:hAnsi="Times New Roman"/>
        <w:color w:val="000000" w:themeColor="text1"/>
        <w:lang w:val="ru-RU"/>
        <w14:textFill>
          <w14:solidFill>
            <w14:schemeClr w14:val="tx1"/>
          </w14:solidFill>
        </w14:textFill>
      </w:rPr>
      <mc:AlternateContent>
        <mc:Choice Requires="wpg">
          <w:drawing>
            <wp:inline distT="0" distB="0" distL="0" distR="0">
              <wp:extent cx="2680335" cy="107315"/>
              <wp:effectExtent l="0" t="0" r="12065" b="0"/>
              <wp:docPr id="3" name="Group 116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80200" cy="107280"/>
                        <a:chOff x="0" y="0"/>
                        <a:chExt cx="2680200" cy="107280"/>
                      </a:xfrm>
                    </wpg:grpSpPr>
                    <wps:wsp>
                      <wps:cNvPr id="4" name="Shape 7"/>
                      <wps:cNvSpPr/>
                      <wps:spPr>
                        <a:xfrm>
                          <a:off x="0" y="0"/>
                          <a:ext cx="2680200" cy="10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60000" h="0">
                              <a:moveTo>
                                <a:pt x="0" y="0"/>
                              </a:moveTo>
                              <a:lnTo>
                                <a:pt x="39600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alt="Group 1166" style="position:absolute;margin-left:0pt;margin-top:-8.5pt;width:211.05pt;height:8.45pt" coordorigin="0,-170" coordsize="4221,169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ind w:hanging="0"/>
      <w:jc w:val="center"/>
      <w:rPr>
        <w:rFonts w:ascii="Times New Roman" w:hAnsi="Times New Roman" w:eastAsia="Times New Roman" w:cs="Times New Roman"/>
        <w:color w:val="auto"/>
        <w:szCs w:val="20"/>
        <w:lang w:val="ru-RU" w:eastAsia="ru-RU"/>
      </w:rPr>
    </w:pPr>
    <w:r>
      <w:rPr>
        <w:rFonts w:eastAsia="Times New Roman" w:cs="Times New Roman" w:ascii="Times New Roman" w:hAnsi="Times New Roman"/>
        <w:color w:val="333333"/>
        <w:szCs w:val="20"/>
        <w:shd w:fill="FFFFFF" w:val="clear"/>
        <w:lang w:eastAsia="ru-RU"/>
      </w:rPr>
      <w:t>I</w:t>
    </w:r>
    <w:r>
      <w:rPr>
        <w:rFonts w:eastAsia="Times New Roman" w:cs="Times New Roman" w:ascii="Times New Roman" w:hAnsi="Times New Roman"/>
        <w:color w:val="333333"/>
        <w:szCs w:val="20"/>
        <w:shd w:fill="FFFFFF" w:val="clear"/>
        <w:lang w:val="ru-RU" w:eastAsia="ru-RU"/>
      </w:rPr>
      <w:t>II</w:t>
    </w:r>
    <w:r>
      <w:rPr>
        <w:rFonts w:eastAsia="Times New Roman" w:cs="Times New Roman" w:ascii="Times New Roman" w:hAnsi="Times New Roman"/>
        <w:color w:val="auto"/>
        <w:szCs w:val="20"/>
        <w:lang w:val="ru-RU" w:eastAsia="ru-RU"/>
      </w:rPr>
      <w:t xml:space="preserve"> Зимняя </w:t>
    </w:r>
    <w:r>
      <w:rPr>
        <w:rFonts w:cs="Times New Roman" w:ascii="Times New Roman" w:hAnsi="Times New Roman"/>
        <w:color w:val="000000" w:themeColor="text1"/>
        <w:lang w:val="ru-RU"/>
        <w14:textFill>
          <w14:solidFill>
            <w14:schemeClr w14:val="tx1"/>
          </w14:solidFill>
        </w14:textFill>
      </w:rPr>
      <w:t xml:space="preserve">научная сессия СНО НИЯУ МИФИ </w:t>
    </w:r>
    <w:r>
      <w:rPr>
        <w:rFonts w:eastAsia="Times New Roman" w:cs="Times New Roman" w:ascii="Roboto" w:hAnsi="Roboto"/>
        <w:szCs w:val="20"/>
        <w:shd w:fill="FFFFFF" w:val="clear"/>
        <w:lang w:val="ru-RU" w:eastAsia="ru-RU"/>
      </w:rPr>
      <w:t>—</w:t>
    </w:r>
    <w:r>
      <w:rPr>
        <w:rFonts w:eastAsia="Times New Roman" w:cs="Times New Roman" w:ascii="Times New Roman" w:hAnsi="Times New Roman"/>
        <w:color w:val="auto"/>
        <w:sz w:val="24"/>
        <w:szCs w:val="24"/>
        <w:lang w:val="ru-RU" w:eastAsia="ru-RU"/>
      </w:rPr>
      <w:t xml:space="preserve"> </w:t>
    </w:r>
    <w:r>
      <w:rPr>
        <w:rFonts w:cs="Times New Roman" w:ascii="Times New Roman" w:hAnsi="Times New Roman"/>
        <w:color w:val="000000" w:themeColor="text1"/>
        <w:lang w:val="ru-RU"/>
        <w14:textFill>
          <w14:solidFill>
            <w14:schemeClr w14:val="tx1"/>
          </w14:solidFill>
        </w14:textFill>
      </w:rPr>
      <w:t>2023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7" w:before="0" w:after="15"/>
      <w:ind w:firstLine="289"/>
      <w:jc w:val="both"/>
    </w:pPr>
    <w:rPr>
      <w:rFonts w:ascii="Calibri" w:hAnsi="Calibri" w:eastAsia="Calibri" w:cs="Calibri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qFormat/>
    <w:pPr>
      <w:keepNext w:val="true"/>
      <w:keepLines/>
      <w:widowControl/>
      <w:bidi w:val="0"/>
      <w:spacing w:lineRule="auto" w:line="259" w:before="0" w:after="112"/>
      <w:jc w:val="center"/>
      <w:outlineLvl w:val="0"/>
    </w:pPr>
    <w:rPr>
      <w:rFonts w:ascii="Calibri" w:hAnsi="Calibri" w:eastAsia="Calibri" w:cs="Calibri"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uiPriority w:val="9"/>
    <w:qFormat/>
    <w:rPr>
      <w:rFonts w:ascii="Calibri" w:hAnsi="Calibri" w:eastAsia="Calibri" w:cs="Calibri"/>
      <w:color w:val="000000"/>
      <w:sz w:val="24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Calibri" w:hAnsi="Calibri" w:eastAsia="Calibri" w:cs="Calibri"/>
      <w:color w:val="000000"/>
      <w:sz w:val="20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Calibri" w:hAnsi="Calibri" w:eastAsia="Calibri" w:cs="Calibri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IBM Plex Sans" w:hAnsi="IBM Plex Sans" w:eastAsia="IBM Plex Sans" w:cs="IBM Plex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BM Plex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ibliography" w:customStyle="1">
    <w:name w:val="Bibliography"/>
    <w:basedOn w:val="Normal"/>
    <w:next w:val="Normal"/>
    <w:uiPriority w:val="37"/>
    <w:unhideWhenUsed/>
    <w:qFormat/>
    <w:pPr/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LibreOffice/7.5.8.2$Linux_X86_64 LibreOffice_project/50$Build-2</Application>
  <AppVersion>15.0000</AppVersion>
  <Pages>2</Pages>
  <Words>371</Words>
  <Characters>2538</Characters>
  <CharactersWithSpaces>2897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2023-11-02T19:28:00Z</dcterms:created>
  <dc:creator>mark</dc:creator>
  <dc:description/>
  <dc:language>en-US</dc:language>
  <cp:lastModifiedBy/>
  <dcterms:modified xsi:type="dcterms:W3CDTF">2023-12-07T23:54:06Z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