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ind w:firstLine="0"/>
        <w:jc w:val="center"/>
      </w:pPr>
      <w:r>
        <w:rPr>
          <w:rFonts w:ascii="Times New Roman" w:hAnsi="Times New Roman"/>
          <w:b/>
          <w:sz w:val="30"/>
        </w:rPr>
        <w:t>Repository Technical Appendix</w:t>
      </w:r>
    </w:p>
    <w:p>
      <w:pPr>
        <w:spacing w:line="240" w:lineRule="auto" w:before="0" w:after="60"/>
        <w:ind w:firstLine="0"/>
        <w:jc w:val="center"/>
      </w:pPr>
      <w:r>
        <w:rPr>
          <w:rFonts w:ascii="Times New Roman" w:hAnsi="Times New Roman"/>
          <w:b/>
          <w:sz w:val="24"/>
        </w:rPr>
        <w:t>Current Coccinellid Abundance Provides Limited and Inconsistent Gains in Short-Horizon Aphid Forecasts: A Reanalysis of Three Public Soybean and Wheat Datasets</w:t>
      </w:r>
    </w:p>
    <w:p>
      <w:pPr>
        <w:spacing w:line="240" w:lineRule="auto" w:before="0" w:after="60"/>
        <w:ind w:firstLine="0"/>
        <w:jc w:val="center"/>
      </w:pPr>
      <w:r>
        <w:t>Xin Li, Bojian Guo &amp; Asel Kartanova</w:t>
      </w:r>
    </w:p>
    <w:p>
      <w:pPr>
        <w:spacing w:line="240" w:lineRule="auto" w:before="0" w:after="60"/>
        <w:ind w:firstLine="0"/>
        <w:jc w:val="center"/>
      </w:pPr>
      <w:r>
        <w:t>Corresponding author: Xin Li &lt;lixin26@kstu.kg&gt;</w:t>
      </w:r>
    </w:p>
    <w:p>
      <w:pPr>
        <w:spacing w:line="240" w:lineRule="auto" w:before="0" w:after="60"/>
        <w:ind w:firstLine="0"/>
        <w:jc w:val="left"/>
      </w:pPr>
      <w:r>
        <w:rPr>
          <w:b/>
          <w:color w:val="C00000"/>
        </w:rPr>
        <w:t>Repository companion containing source reconstruction, complete retained model comparisons, physical-unit resampling diagnostics, and wheat forward-forecast checks. This file is not a JAUE supplementary submission. Deposit it with the code and derived outputs at [INSERT PUBLIC REPOSITORY DOI OR PERMANENT URL BEFORE RESUBMISSION]. Third-party raw observations are not redistributed.</w:t>
      </w:r>
    </w:p>
    <w:p>
      <w:pPr>
        <w:keepNext/>
        <w:pageBreakBefore/>
        <w:spacing w:line="240" w:lineRule="auto" w:before="0" w:after="60"/>
        <w:ind w:firstLine="0"/>
        <w:jc w:val="left"/>
      </w:pPr>
      <w:r>
        <w:rPr>
          <w:rFonts w:ascii="Times New Roman" w:hAnsi="Times New Roman"/>
          <w:b/>
          <w:sz w:val="20"/>
        </w:rPr>
        <w:t>Appendix Table A1 Source-level reconstruction of Indiana whole-plant observations</w:t>
      </w:r>
    </w:p>
    <w:p>
      <w:pPr>
        <w:keepNext/>
        <w:spacing w:line="240" w:lineRule="auto" w:before="0" w:after="60"/>
        <w:ind w:firstLine="0"/>
        <w:jc w:val="left"/>
      </w:pPr>
      <w:r>
        <w:rPr>
          <w:rFonts w:ascii="Times New Roman" w:hAnsi="Times New Roman" w:eastAsia="Times New Roman"/>
          <w:b w:val="0"/>
          <w:sz w:val="24"/>
        </w:rPr>
        <w:t>Complete means aphid, adult-coccinellid and larval-coccinellid totals observed or recoverable by the documented node formula on the same sampled plant. Supplied whole-plant values were never rescaled again. The retained counts reproduce all 834 historical visit means within 2.3 × 10⁻¹³. The separate 2005 LS file was excluded because its adult counts use a three-metre plant-row section; it is retained for audit, not pooled with per-plant data. Twenty-five plant rows with incomplete focal totals are excluded, without treating missing values as zeros. Sources: Yoo (2018), original Variable_Definitions.csv and repository metadata.</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rPr>
          <w:cantSplit/>
          <w:tblHeader w:val="true"/>
          <w:cantSplit/>
          <w:tblHeader w:val="true"/>
        </w:trPr>
        <w:tc>
          <w:tcPr>
            <w:tcW w:type="dxa" w:w="1872"/>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Original source file</w:t>
            </w:r>
          </w:p>
        </w:tc>
        <w:tc>
          <w:tcPr>
            <w:tcW w:type="dxa" w:w="1728"/>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Rows</w:t>
            </w:r>
          </w:p>
        </w:tc>
        <w:tc>
          <w:tcPr>
            <w:tcW w:type="dxa" w:w="1728"/>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Complete triplets</w:t>
            </w:r>
          </w:p>
        </w:tc>
        <w:tc>
          <w:tcPr>
            <w:tcW w:type="dxa" w:w="1800"/>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Visits</w:t>
            </w:r>
          </w:p>
        </w:tc>
        <w:tc>
          <w:tcPr>
            <w:tcW w:type="dxa" w:w="1800"/>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Node-derived rows</w:t>
            </w:r>
          </w:p>
        </w:tc>
      </w:tr>
      <w:tr>
        <w:trPr>
          <w:cantSplit/>
          <w:cantSplit/>
        </w:trPr>
        <w:tc>
          <w:tcPr>
            <w:tcW w:type="dxa" w:w="187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ACRE 2004-2006 plant.csv</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7464</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7439</w:t>
            </w:r>
          </w:p>
        </w:tc>
        <w:tc>
          <w:tcPr>
            <w:tcW w:type="dxa" w:w="1800"/>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383</w:t>
            </w:r>
          </w:p>
        </w:tc>
        <w:tc>
          <w:tcPr>
            <w:tcW w:type="dxa" w:w="1800"/>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w:t>
            </w:r>
          </w:p>
        </w:tc>
      </w:tr>
      <w:tr>
        <w:trPr>
          <w:cantSplit/>
          <w:cantSplit/>
        </w:trPr>
        <w:tc>
          <w:tcPr>
            <w:tcW w:type="dxa" w:w="187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TRANS 2004 plant.csv</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4158</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4158</w:t>
            </w:r>
          </w:p>
        </w:tc>
        <w:tc>
          <w:tcPr>
            <w:tcW w:type="dxa" w:w="1800"/>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242</w:t>
            </w:r>
          </w:p>
        </w:tc>
        <w:tc>
          <w:tcPr>
            <w:tcW w:type="dxa" w:w="1800"/>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w:t>
            </w:r>
          </w:p>
        </w:tc>
      </w:tr>
      <w:tr>
        <w:trPr>
          <w:cantSplit/>
          <w:cantSplit/>
        </w:trPr>
        <w:tc>
          <w:tcPr>
            <w:tcW w:type="dxa" w:w="187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TRANS 2005 ESplant.csv</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1977</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1977</w:t>
            </w:r>
          </w:p>
        </w:tc>
        <w:tc>
          <w:tcPr>
            <w:tcW w:type="dxa" w:w="1800"/>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114</w:t>
            </w:r>
          </w:p>
        </w:tc>
        <w:tc>
          <w:tcPr>
            <w:tcW w:type="dxa" w:w="1800"/>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477</w:t>
            </w:r>
          </w:p>
        </w:tc>
      </w:tr>
      <w:tr>
        <w:trPr>
          <w:cantSplit/>
          <w:cantSplit/>
        </w:trPr>
        <w:tc>
          <w:tcPr>
            <w:tcW w:type="dxa" w:w="187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TRANS 2006 plant.csv</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1669</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1669</w:t>
            </w:r>
          </w:p>
        </w:tc>
        <w:tc>
          <w:tcPr>
            <w:tcW w:type="dxa" w:w="1800"/>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95</w:t>
            </w:r>
          </w:p>
        </w:tc>
        <w:tc>
          <w:tcPr>
            <w:tcW w:type="dxa" w:w="1800"/>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w:t>
            </w:r>
          </w:p>
        </w:tc>
      </w:tr>
    </w:tbl>
    <w:p>
      <w:pPr>
        <w:keepNext/>
        <w:pageBreakBefore/>
        <w:spacing w:line="240" w:lineRule="auto" w:before="0" w:after="60"/>
        <w:ind w:firstLine="0"/>
        <w:jc w:val="left"/>
      </w:pPr>
      <w:r>
        <w:rPr>
          <w:rFonts w:ascii="Times New Roman" w:hAnsi="Times New Roman"/>
          <w:b/>
          <w:sz w:val="20"/>
        </w:rPr>
        <w:t>Appendix Table A2 Recorded identifiers and physical-field grouping</w:t>
      </w:r>
    </w:p>
    <w:p>
      <w:pPr>
        <w:keepNext/>
        <w:spacing w:line="240" w:lineRule="auto" w:before="0" w:after="60"/>
        <w:ind w:firstLine="0"/>
        <w:jc w:val="left"/>
      </w:pPr>
      <w:r>
        <w:rPr>
          <w:rFonts w:ascii="Times New Roman" w:hAnsi="Times New Roman" w:eastAsia="Times New Roman"/>
          <w:b w:val="0"/>
          <w:sz w:val="24"/>
        </w:rPr>
        <w:t>ACRE metadata FieldName1 and Plot_ID provide an explicit many-plots-to-one-field map within each year. In 2006, plots 1A, 1B, 1C, 2A, 2B, 2C, 3A, 3B and 3C belong to ACRE42and43. The six transect field identifiers are E-1 through E-6. A field-year count is not a count of independent farms; ownership and cross-year identity of transect fields are not inferred from reused labels. The public archive includes early-season field labels beyond the season-long subset described in the source article. The full crosswalk is supplied as CSV.</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rPr>
          <w:cantSplit/>
          <w:tblHeader w:val="true"/>
          <w:cantSplit/>
          <w:tblHeader w:val="true"/>
        </w:trPr>
        <w:tc>
          <w:tcPr>
            <w:tcW w:type="dxa" w:w="1152"/>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Year</w:t>
            </w:r>
          </w:p>
        </w:tc>
        <w:tc>
          <w:tcPr>
            <w:tcW w:type="dxa" w:w="1296"/>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Network</w:t>
            </w:r>
          </w:p>
        </w:tc>
        <w:tc>
          <w:tcPr>
            <w:tcW w:type="dxa" w:w="4392"/>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Plot / field IDs</w:t>
            </w:r>
          </w:p>
        </w:tc>
        <w:tc>
          <w:tcPr>
            <w:tcW w:type="dxa" w:w="1944"/>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Physical-field units</w:t>
            </w:r>
          </w:p>
        </w:tc>
      </w:tr>
      <w:tr>
        <w:trPr>
          <w:cantSplit/>
          <w:cantSplit/>
        </w:trPr>
        <w:tc>
          <w:tcPr>
            <w:tcW w:type="dxa" w:w="115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2004</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Transect</w:t>
            </w:r>
          </w:p>
        </w:tc>
        <w:tc>
          <w:tcPr>
            <w:tcW w:type="dxa" w:w="439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21</w:t>
            </w:r>
          </w:p>
        </w:tc>
        <w:tc>
          <w:tcPr>
            <w:tcW w:type="dxa" w:w="194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21</w:t>
            </w:r>
          </w:p>
        </w:tc>
      </w:tr>
      <w:tr>
        <w:trPr>
          <w:cantSplit/>
          <w:cantSplit/>
        </w:trPr>
        <w:tc>
          <w:tcPr>
            <w:tcW w:type="dxa" w:w="115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2004</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ACRE</w:t>
            </w:r>
          </w:p>
        </w:tc>
        <w:tc>
          <w:tcPr>
            <w:tcW w:type="dxa" w:w="439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5</w:t>
            </w:r>
          </w:p>
        </w:tc>
        <w:tc>
          <w:tcPr>
            <w:tcW w:type="dxa" w:w="194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w:t>
            </w:r>
          </w:p>
        </w:tc>
      </w:tr>
      <w:tr>
        <w:trPr>
          <w:cantSplit/>
          <w:cantSplit/>
        </w:trPr>
        <w:tc>
          <w:tcPr>
            <w:tcW w:type="dxa" w:w="115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2005</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Transect</w:t>
            </w:r>
          </w:p>
        </w:tc>
        <w:tc>
          <w:tcPr>
            <w:tcW w:type="dxa" w:w="439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9</w:t>
            </w:r>
          </w:p>
        </w:tc>
        <w:tc>
          <w:tcPr>
            <w:tcW w:type="dxa" w:w="194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9</w:t>
            </w:r>
          </w:p>
        </w:tc>
      </w:tr>
      <w:tr>
        <w:trPr>
          <w:cantSplit/>
          <w:cantSplit/>
        </w:trPr>
        <w:tc>
          <w:tcPr>
            <w:tcW w:type="dxa" w:w="115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2005</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ACRE</w:t>
            </w:r>
          </w:p>
        </w:tc>
        <w:tc>
          <w:tcPr>
            <w:tcW w:type="dxa" w:w="439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4</w:t>
            </w:r>
          </w:p>
        </w:tc>
        <w:tc>
          <w:tcPr>
            <w:tcW w:type="dxa" w:w="194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w:t>
            </w:r>
          </w:p>
        </w:tc>
      </w:tr>
      <w:tr>
        <w:trPr>
          <w:cantSplit/>
          <w:cantSplit/>
        </w:trPr>
        <w:tc>
          <w:tcPr>
            <w:tcW w:type="dxa" w:w="115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2006</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Transect</w:t>
            </w:r>
          </w:p>
        </w:tc>
        <w:tc>
          <w:tcPr>
            <w:tcW w:type="dxa" w:w="439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6</w:t>
            </w:r>
          </w:p>
        </w:tc>
        <w:tc>
          <w:tcPr>
            <w:tcW w:type="dxa" w:w="194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6</w:t>
            </w:r>
          </w:p>
        </w:tc>
      </w:tr>
      <w:tr>
        <w:trPr>
          <w:cantSplit/>
          <w:cantSplit/>
        </w:trPr>
        <w:tc>
          <w:tcPr>
            <w:tcW w:type="dxa" w:w="115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2006</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ACRE</w:t>
            </w:r>
          </w:p>
        </w:tc>
        <w:tc>
          <w:tcPr>
            <w:tcW w:type="dxa" w:w="439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9</w:t>
            </w:r>
          </w:p>
        </w:tc>
        <w:tc>
          <w:tcPr>
            <w:tcW w:type="dxa" w:w="194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w:t>
            </w:r>
          </w:p>
        </w:tc>
      </w:tr>
    </w:tbl>
    <w:p>
      <w:pPr>
        <w:keepNext/>
        <w:pageBreakBefore/>
        <w:spacing w:line="240" w:lineRule="auto" w:before="0" w:after="60"/>
        <w:ind w:firstLine="0"/>
        <w:jc w:val="left"/>
      </w:pPr>
      <w:r>
        <w:rPr>
          <w:rFonts w:ascii="Times New Roman" w:hAnsi="Times New Roman"/>
          <w:b/>
          <w:sz w:val="20"/>
        </w:rPr>
        <w:t>Appendix Table A3. Indiana forecast targets and positive-predictor support</w:t>
      </w:r>
    </w:p>
    <w:p>
      <w:pPr>
        <w:keepNext/>
        <w:spacing w:line="240" w:lineRule="auto" w:before="0" w:after="60"/>
        <w:ind w:firstLine="0"/>
        <w:jc w:val="left"/>
      </w:pPr>
      <w:r>
        <w:rPr>
          <w:rFonts w:ascii="Times New Roman" w:hAnsi="Times New Roman"/>
          <w:b w:val="0"/>
          <w:sz w:val="24"/>
        </w:rPr>
        <w:t>The next target is the immediately subsequent recorded visit. The approximately 3-wk target is the date closest to 19.5 days within 16–23 days, with earlier-date tie breaking. Target selection precedes checking target completeness. No empty source visits were skipped. The 230 and 194 evaluation pairs have zero identical field/origin/target tuples but share survey fields and years. They are two target definitions, not independent studies. Full origin and target dates, source units and sampling effort are supplied in the pair ledgers.</w:t>
      </w:r>
    </w:p>
    <w:tbl>
      <w:tblPr>
        <w:tblStyle w:val="TableGrid"/>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rPr>
          <w:cantSplit/>
          <w:tblHeader w:val="true"/>
          <w:cantSplit/>
          <w:tblHeader w:val="true"/>
        </w:trPr>
        <w:tc>
          <w:tcPr>
            <w:tcW w:type="dxa" w:w="1224"/>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Target</w:t>
            </w:r>
          </w:p>
        </w:tc>
        <w:tc>
          <w:tcPr>
            <w:tcW w:type="dxa" w:w="1080"/>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Year</w:t>
            </w:r>
          </w:p>
        </w:tc>
        <w:tc>
          <w:tcPr>
            <w:tcW w:type="dxa" w:w="1080"/>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Pairs</w:t>
            </w:r>
          </w:p>
        </w:tc>
        <w:tc>
          <w:tcPr>
            <w:tcW w:type="dxa" w:w="1224"/>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Days</w:t>
            </w:r>
          </w:p>
        </w:tc>
        <w:tc>
          <w:tcPr>
            <w:tcW w:type="dxa" w:w="1224"/>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Adult +</w:t>
            </w:r>
          </w:p>
        </w:tc>
        <w:tc>
          <w:tcPr>
            <w:tcW w:type="dxa" w:w="1224"/>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Larva +</w:t>
            </w:r>
          </w:p>
        </w:tc>
        <w:tc>
          <w:tcPr>
            <w:tcW w:type="dxa" w:w="1584"/>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Larva + fields</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Next</w:t>
            </w:r>
          </w:p>
        </w:tc>
        <w:tc>
          <w:tcPr>
            <w:tcW w:type="dxa" w:w="1080"/>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2004</w:t>
            </w:r>
          </w:p>
        </w:tc>
        <w:tc>
          <w:tcPr>
            <w:tcW w:type="dxa" w:w="1080"/>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341</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3–14</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10</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9</w:t>
            </w:r>
          </w:p>
        </w:tc>
        <w:tc>
          <w:tcPr>
            <w:tcW w:type="dxa" w:w="158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6</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Next</w:t>
            </w:r>
          </w:p>
        </w:tc>
        <w:tc>
          <w:tcPr>
            <w:tcW w:type="dxa" w:w="1080"/>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2005</w:t>
            </w:r>
          </w:p>
        </w:tc>
        <w:tc>
          <w:tcPr>
            <w:tcW w:type="dxa" w:w="1080"/>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209</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1–22</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38</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45</w:t>
            </w:r>
          </w:p>
        </w:tc>
        <w:tc>
          <w:tcPr>
            <w:tcW w:type="dxa" w:w="158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10</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Next</w:t>
            </w:r>
          </w:p>
        </w:tc>
        <w:tc>
          <w:tcPr>
            <w:tcW w:type="dxa" w:w="1080"/>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2006</w:t>
            </w:r>
          </w:p>
        </w:tc>
        <w:tc>
          <w:tcPr>
            <w:tcW w:type="dxa" w:w="1080"/>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230</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5–14</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11</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4</w:t>
            </w:r>
          </w:p>
        </w:tc>
        <w:tc>
          <w:tcPr>
            <w:tcW w:type="dxa" w:w="158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sz w:val="16"/>
              </w:rPr>
              <w:t>Approximately 3 wk</w:t>
            </w:r>
          </w:p>
        </w:tc>
        <w:tc>
          <w:tcPr>
            <w:tcW w:type="dxa" w:w="1080"/>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2004</w:t>
            </w:r>
          </w:p>
        </w:tc>
        <w:tc>
          <w:tcPr>
            <w:tcW w:type="dxa" w:w="1080"/>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283</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18–22</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8</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5</w:t>
            </w:r>
          </w:p>
        </w:tc>
        <w:tc>
          <w:tcPr>
            <w:tcW w:type="dxa" w:w="158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4</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sz w:val="16"/>
              </w:rPr>
              <w:t>Approximately 3 wk</w:t>
            </w:r>
          </w:p>
        </w:tc>
        <w:tc>
          <w:tcPr>
            <w:tcW w:type="dxa" w:w="1080"/>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2005</w:t>
            </w:r>
          </w:p>
        </w:tc>
        <w:tc>
          <w:tcPr>
            <w:tcW w:type="dxa" w:w="1080"/>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178</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17–22</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27</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29</w:t>
            </w:r>
          </w:p>
        </w:tc>
        <w:tc>
          <w:tcPr>
            <w:tcW w:type="dxa" w:w="158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8</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sz w:val="16"/>
              </w:rPr>
              <w:t>Approximately 3 wk</w:t>
            </w:r>
          </w:p>
        </w:tc>
        <w:tc>
          <w:tcPr>
            <w:tcW w:type="dxa" w:w="1080"/>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2006</w:t>
            </w:r>
          </w:p>
        </w:tc>
        <w:tc>
          <w:tcPr>
            <w:tcW w:type="dxa" w:w="1080"/>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194</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19–23</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8</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w:t>
            </w:r>
          </w:p>
        </w:tc>
        <w:tc>
          <w:tcPr>
            <w:tcW w:type="dxa" w:w="158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w:t>
            </w:r>
          </w:p>
        </w:tc>
      </w:tr>
    </w:tbl>
    <w:p>
      <w:pPr>
        <w:keepNext/>
        <w:pageBreakBefore/>
        <w:spacing w:line="240" w:lineRule="auto" w:before="0" w:after="60"/>
        <w:ind w:firstLine="0"/>
        <w:jc w:val="left"/>
      </w:pPr>
      <w:r>
        <w:rPr>
          <w:rFonts w:ascii="Times New Roman" w:hAnsi="Times New Roman"/>
          <w:b/>
          <w:sz w:val="20"/>
        </w:rPr>
        <w:t>Appendix Table A4 Predictor blocks and information available at the prediction origin</w:t>
      </w:r>
    </w:p>
    <w:p>
      <w:pPr>
        <w:keepNext/>
        <w:spacing w:line="240" w:lineRule="auto" w:before="0" w:after="60"/>
        <w:ind w:firstLine="0"/>
        <w:jc w:val="left"/>
      </w:pPr>
      <w:r>
        <w:rPr>
          <w:rFonts w:ascii="Times New Roman" w:hAnsi="Times New Roman"/>
          <w:b w:val="0"/>
          <w:sz w:val="24"/>
        </w:rPr>
        <w:t>All transformations, imputations and fits use development rows only. Neither future dates/intervals, next-visit crop stages, harvest quantities nor subsequent weather enter predictors. Seasonal sine/cosine use day of year divided by 365.25. Wisconsin development-group cross-validation examines α ∈ {0.1, 1, 10, 100} and keeps a common background penalty for adult- and larval-coccinellid comparisons. Indiana penalties are fixed sensitivities, not selected on 2006. The six-column phenology specification was added following the management-coverage audit; the originally planned eight-column availability specification is retained, not hidden.</w:t>
      </w:r>
    </w:p>
    <w:tbl>
      <w:tblPr>
        <w:tblStyle w:val="TableGrid"/>
        <w:tblW w:type="auto" w:w="0"/>
        <w:jc w:val="center"/>
        <w:tblLayout w:type="autofit"/>
        <w:tblLook w:firstColumn="1" w:firstRow="1" w:lastColumn="0" w:lastRow="0" w:noHBand="0" w:noVBand="1" w:val="04A0"/>
      </w:tblPr>
      <w:tblGrid>
        <w:gridCol w:w="3120"/>
        <w:gridCol w:w="3120"/>
        <w:gridCol w:w="3120"/>
      </w:tblGrid>
      <w:tr>
        <w:trPr>
          <w:cantSplit/>
          <w:tblHeader w:val="true"/>
          <w:cantSplit/>
          <w:tblHeader w:val="true"/>
        </w:trPr>
        <w:tc>
          <w:tcPr>
            <w:tcW w:type="dxa" w:w="2088"/>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Block</w:t>
            </w:r>
          </w:p>
        </w:tc>
        <w:tc>
          <w:tcPr>
            <w:tcW w:type="dxa" w:w="4536"/>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Predictors / processing</w:t>
            </w:r>
          </w:p>
        </w:tc>
        <w:tc>
          <w:tcPr>
            <w:tcW w:type="dxa" w:w="2304"/>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Boundary</w:t>
            </w:r>
          </w:p>
        </w:tc>
      </w:tr>
      <w:tr>
        <w:trPr>
          <w:cantSplit/>
          <w:cantSplit/>
        </w:trPr>
        <w:tc>
          <w:tcPr>
            <w:tcW w:type="dxa" w:w="208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Current aphids</w:t>
            </w:r>
          </w:p>
        </w:tc>
        <w:tc>
          <w:tcPr>
            <w:tcW w:type="dxa" w:w="453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log(1 + current count), standardized ridge α = 1</w:t>
            </w:r>
          </w:p>
        </w:tc>
        <w:tc>
          <w:tcPr>
            <w:tcW w:type="dxa" w:w="230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Fit separately by survey.</w:t>
            </w:r>
          </w:p>
        </w:tc>
      </w:tr>
      <w:tr>
        <w:trPr>
          <w:cantSplit/>
          <w:cantSplit/>
        </w:trPr>
        <w:tc>
          <w:tcPr>
            <w:tcW w:type="dxa" w:w="208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Stage addition</w:t>
            </w:r>
          </w:p>
        </w:tc>
        <w:tc>
          <w:tcPr>
            <w:tcW w:type="dxa" w:w="453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log(1 + adult count), log(1 + larval count), jointly or individually</w:t>
            </w:r>
          </w:p>
        </w:tc>
        <w:tc>
          <w:tcPr>
            <w:tcW w:type="dxa" w:w="2304"/>
            <w:vAlign w:val="center"/>
            <w:tcMar>
              <w:top w:w="40" w:type="dxa"/>
              <w:start w:w="55" w:type="dxa"/>
              <w:bottom w:w="40" w:type="dxa"/>
              <w:end w:w="55" w:type="dxa"/>
            </w:tcMar>
          </w:tcPr>
          <w:p>
            <w:pPr>
              <w:spacing w:line="240" w:lineRule="auto" w:before="0" w:after="0"/>
              <w:ind w:firstLine="0"/>
              <w:jc w:val="left"/>
            </w:pPr>
            <w:r>
              <w:rPr>
                <w:rFonts w:ascii="Times New Roman" w:hAnsi="Times New Roman"/>
                <w:sz w:val="16"/>
              </w:rPr>
              <w:t>Not an experimental coccinellid-predictor effect.</w:t>
            </w:r>
          </w:p>
        </w:tc>
      </w:tr>
      <w:tr>
        <w:trPr>
          <w:cantSplit/>
          <w:cantSplit/>
        </w:trPr>
        <w:tc>
          <w:tcPr>
            <w:tcW w:type="dxa" w:w="208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Wisconsin conditions</w:t>
            </w:r>
          </w:p>
        </w:tc>
        <w:tc>
          <w:tcPr>
            <w:tcW w:type="dxa" w:w="453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Current aphids; seasonal sine/cosine; sun, wind and vegetation wetness indicators</w:t>
            </w:r>
          </w:p>
        </w:tc>
        <w:tc>
          <w:tcPr>
            <w:tcW w:type="dxa" w:w="230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These are sampling conditions, not interval weather.</w:t>
            </w:r>
          </w:p>
        </w:tc>
      </w:tr>
      <w:tr>
        <w:trPr>
          <w:cantSplit/>
          <w:cantSplit/>
        </w:trPr>
        <w:tc>
          <w:tcPr>
            <w:tcW w:type="dxa" w:w="208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Wisconsin habitat sensitivity</w:t>
            </w:r>
          </w:p>
        </w:tc>
        <w:tc>
          <w:tcPr>
            <w:tcW w:type="dxa" w:w="453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Conditions plus same-year semi-natural cover; common development-selected α = 10</w:t>
            </w:r>
          </w:p>
        </w:tc>
        <w:tc>
          <w:tcPr>
            <w:tcW w:type="dxa" w:w="230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Retrospective same-year land cover, not verified origin-available.</w:t>
            </w:r>
          </w:p>
        </w:tc>
      </w:tr>
      <w:tr>
        <w:trPr>
          <w:cantSplit/>
          <w:cantSplit/>
        </w:trPr>
        <w:tc>
          <w:tcPr>
            <w:tcW w:type="dxa" w:w="208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Indiana phenology</w:t>
            </w:r>
          </w:p>
        </w:tc>
        <w:tc>
          <w:tcPr>
            <w:tcW w:type="dxa" w:w="453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Current aphids; seasonal sine/cosine; vegetative and reproductive stages; ACRE indicator; α = 1 and 10</w:t>
            </w:r>
          </w:p>
        </w:tc>
        <w:tc>
          <w:tcPr>
            <w:tcW w:type="dxa" w:w="230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Missing stages imputed from development only; both stage variables were observed for all 2006 origins; recorded zeros were retained.</w:t>
            </w:r>
          </w:p>
        </w:tc>
      </w:tr>
      <w:tr>
        <w:trPr>
          <w:cantSplit/>
          <w:cantSplit/>
        </w:trPr>
        <w:tc>
          <w:tcPr>
            <w:tcW w:type="dxa" w:w="208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Indiana availability sensitivity</w:t>
            </w:r>
          </w:p>
        </w:tc>
        <w:tc>
          <w:tcPr>
            <w:tcW w:type="dxa" w:w="453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Phenology plus recorded surrounding-field spray indicator and its missingness flag</w:t>
            </w:r>
          </w:p>
        </w:tc>
        <w:tc>
          <w:tcPr>
            <w:tcW w:type="dxa" w:w="230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No positive sprayed origin in retained data; all 2006 spray flags missing. This is not management-effect adjustment.</w:t>
            </w:r>
          </w:p>
        </w:tc>
      </w:tr>
      <w:tr>
        <w:trPr>
          <w:cantSplit/>
          <w:cantSplit/>
        </w:trPr>
        <w:tc>
          <w:tcPr>
            <w:tcW w:type="dxa" w:w="208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Temperature stress tests</w:t>
            </w:r>
          </w:p>
        </w:tc>
        <w:tc>
          <w:tcPr>
            <w:tcW w:type="dxa" w:w="453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Unchanged Wisconsin values versus unconfirmed 2021 Fahrenheit conversion</w:t>
            </w:r>
          </w:p>
        </w:tc>
        <w:tc>
          <w:tcPr>
            <w:tcW w:type="dxa" w:w="230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Excluded from primary models; no silent unit correction.</w:t>
            </w:r>
          </w:p>
        </w:tc>
      </w:tr>
      <w:tr>
        <w:trPr>
          <w:cantSplit/>
          <w:cantSplit/>
        </w:trPr>
        <w:tc>
          <w:tcPr>
            <w:tcW w:type="dxa" w:w="208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Other baselines</w:t>
            </w:r>
          </w:p>
        </w:tc>
        <w:tc>
          <w:tcPr>
            <w:tcW w:type="dxa" w:w="453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Persistence; training median; median regression; constant-zero diagnostic</w:t>
            </w:r>
          </w:p>
        </w:tc>
        <w:tc>
          <w:tcPr>
            <w:tcW w:type="dxa" w:w="230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Zero was examined after outcomes and is not a prospectively validated model.</w:t>
            </w:r>
          </w:p>
        </w:tc>
      </w:tr>
    </w:tbl>
    <w:p>
      <w:pPr>
        <w:keepNext/>
        <w:pageBreakBefore w:val="0"/>
        <w:spacing w:line="240" w:lineRule="auto" w:before="0" w:after="60"/>
        <w:ind w:firstLine="0"/>
        <w:jc w:val="left"/>
      </w:pPr>
      <w:r>
        <w:rPr>
          <w:rFonts w:ascii="Times New Roman" w:hAnsi="Times New Roman"/>
          <w:b/>
          <w:sz w:val="20"/>
        </w:rPr>
        <w:t>Appendix Table A5 Performance of all retained Indiana specifications at both horizons</w:t>
      </w:r>
    </w:p>
    <w:p>
      <w:pPr>
        <w:keepNext/>
        <w:pageBreakBefore w:val="0"/>
        <w:spacing w:line="240" w:lineRule="auto" w:before="0" w:after="60"/>
        <w:ind w:firstLine="0"/>
        <w:jc w:val="left"/>
      </w:pPr>
      <w:r>
        <w:rPr>
          <w:rFonts w:ascii="Times New Roman" w:hAnsi="Times New Roman"/>
          <w:b/>
          <w:sz w:val="20"/>
        </w:rPr>
        <w:t>Appendix Table A5 reports all fitted Indiana specifications, not selected winners. “Only” excludes focal stages; “both” adds adult and larval counts. “Availability” is the eight-column missingness-pattern sensitivity; it cannot estimate a pesticide effect. “Phenology” omits the two management availability columns. All scores use log(1 + mean aphids per plant). These retrospective models use only 2004–2005 for fitting and 2006 for evaluation.</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rPr>
          <w:cantSplit/>
          <w:tblHeader w:val="true"/>
          <w:cantSplit/>
          <w:tblHeader w:val="true"/>
        </w:trPr>
        <w:tc>
          <w:tcPr>
            <w:tcW w:type="dxa" w:w="1224"/>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Target</w:t>
            </w:r>
          </w:p>
        </w:tc>
        <w:tc>
          <w:tcPr>
            <w:tcW w:type="dxa" w:w="3024"/>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Specification</w:t>
            </w:r>
          </w:p>
        </w:tc>
        <w:tc>
          <w:tcPr>
            <w:tcW w:type="dxa" w:w="1728"/>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Pair-weighted MAE</w:t>
            </w:r>
          </w:p>
        </w:tc>
        <w:tc>
          <w:tcPr>
            <w:tcW w:type="dxa" w:w="1728"/>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Equal-field MAE</w:t>
            </w:r>
          </w:p>
        </w:tc>
        <w:tc>
          <w:tcPr>
            <w:tcW w:type="dxa" w:w="1224"/>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Zero predictions</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Next</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Persistence</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0.5608</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0.6308</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61</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Next</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Training median</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1.1278</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1.1797</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Next</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Zero diagnostic</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1.2086</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1.2346</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230</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Next</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Current only / α=1</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0.5811</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0.6514</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Next</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Current adult / α=1</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0.5799</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0.6527</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Next</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Current larva / α=1</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0.5746</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0.6388</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Next</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Current both / α=1</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0.5800</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0.6449</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Next</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Availability only / α=1</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0.7025</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0.7449</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8</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Next</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Availability adult / α=1</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0.6436</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0.6915</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15</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Next</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Availability larva / α=1</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0.6154</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0.6573</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6</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Next</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Availability both / α=1</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0.5893</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0.6342</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6</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Next</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Availability only / α=10</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0.6742</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0.7207</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6</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Next</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Availability adult / α=10</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0.6230</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0.6746</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15</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Next</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Availability larva / α=10</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0.5973</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0.6437</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6</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Next</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Availability both / α=10</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0.5746</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0.6228</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15</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Next</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Phenology only / α=1</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0.7253</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0.7739</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4</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Next</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Phenology adult / α=1</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0.6812</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0.7383</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3</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Next</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Phenology larva / α=1</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0.6435</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0.6916</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Next</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Phenology both / α=1</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0.6273</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0.6807</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Next</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Phenology only / α=10</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0.6964</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0.7505</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3</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Next</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Phenology adult / α=10</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0.6593</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0.7219</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Next</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Phenology larva / α=10</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0.6264</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0.6807</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Next</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Phenology both / α=10</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0.6129</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0.6720</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sz w:val="16"/>
              </w:rPr>
              <w:t>Approximately 3 wk</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Persistence</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1.0000</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1.0835</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61</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sz w:val="16"/>
              </w:rPr>
              <w:t>Approximately 3 wk</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Training median</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1.1390</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1.1944</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sz w:val="16"/>
              </w:rPr>
              <w:t>Approximately 3 wk</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Zero diagnostic</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1.3348</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1.3069</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194</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sz w:val="16"/>
              </w:rPr>
              <w:t>Approximately 3 wk</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Current only / α=1</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0.9738</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1.0988</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sz w:val="16"/>
              </w:rPr>
              <w:t>Approximately 3 wk</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Current adult / α=1</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0.9693</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1.1007</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sz w:val="16"/>
              </w:rPr>
              <w:t>Approximately 3 wk</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Current larva / α=1</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0.9620</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1.0877</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sz w:val="16"/>
              </w:rPr>
              <w:t>Approximately 3 wk</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Current both / α=1</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0.9635</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1.0933</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sz w:val="16"/>
              </w:rPr>
              <w:t>Approximately 3 wk</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Availability only / α=1</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1.3295</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1.2413</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20</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sz w:val="16"/>
              </w:rPr>
              <w:t>Approximately 3 wk</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Availability adult / α=1</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1.1321</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1.0921</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5</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sz w:val="16"/>
              </w:rPr>
              <w:t>Approximately 3 wk</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Availability larva / α=1</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1.2391</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1.1723</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15</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sz w:val="16"/>
              </w:rPr>
              <w:t>Approximately 3 wk</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Availability both / α=1</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1.1065</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1.0697</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5</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sz w:val="16"/>
              </w:rPr>
              <w:t>Approximately 3 wk</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Availability only / α=10</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1.2868</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1.2083</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17</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sz w:val="16"/>
              </w:rPr>
              <w:t>Approximately 3 wk</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Availability adult / α=10</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1.1003</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1.0674</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5</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sz w:val="16"/>
              </w:rPr>
              <w:t>Approximately 3 wk</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Availability larva / α=10</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1.2005</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1.1428</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14</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sz w:val="16"/>
              </w:rPr>
              <w:t>Approximately 3 wk</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Availability both / α=10</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1.0765</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1.0474</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5</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sz w:val="16"/>
              </w:rPr>
              <w:t>Approximately 3 wk</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Phenology only / α=1</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1.4430</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1.4055</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15</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sz w:val="16"/>
              </w:rPr>
              <w:t>Approximately 3 wk</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Phenology adult / α=1</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1.2944</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1.2995</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5</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sz w:val="16"/>
              </w:rPr>
              <w:t>Approximately 3 wk</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Phenology larva / α=1</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1.3752</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1.3537</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12</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sz w:val="16"/>
              </w:rPr>
              <w:t>Approximately 3 wk</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Phenology both / α=1</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1.2808</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1.2875</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5</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sz w:val="16"/>
              </w:rPr>
              <w:t>Approximately 3 wk</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Phenology only / α=10</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1.3916</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1.3634</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13</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sz w:val="16"/>
              </w:rPr>
              <w:t>Approximately 3 wk</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Phenology adult / α=10</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1.2511</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1.2648</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4</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sz w:val="16"/>
              </w:rPr>
              <w:t>Approximately 3 wk</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Phenology larva / α=10</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1.3256</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1.3124</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10</w:t>
            </w:r>
          </w:p>
        </w:tc>
      </w:tr>
      <w:tr>
        <w:trPr>
          <w:cantSplit/>
          <w:cantSplit/>
        </w:trPr>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sz w:val="16"/>
              </w:rPr>
              <w:t>Approximately 3 wk</w:t>
            </w:r>
          </w:p>
        </w:tc>
        <w:tc>
          <w:tcPr>
            <w:tcW w:type="dxa" w:w="30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Phenology both / α=10</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1.2367</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1.2544</w:t>
            </w:r>
          </w:p>
        </w:tc>
        <w:tc>
          <w:tcPr>
            <w:tcW w:type="dxa" w:w="12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4</w:t>
            </w:r>
          </w:p>
        </w:tc>
      </w:tr>
    </w:tbl>
    <w:p>
      <w:pPr>
        <w:keepNext/>
        <w:pageBreakBefore/>
        <w:spacing w:line="240" w:lineRule="auto" w:before="0" w:after="60"/>
        <w:ind w:firstLine="0"/>
        <w:jc w:val="left"/>
      </w:pPr>
      <w:r>
        <w:rPr>
          <w:rFonts w:ascii="Times New Roman" w:hAnsi="Times New Roman"/>
          <w:b/>
          <w:sz w:val="20"/>
        </w:rPr>
        <w:t>Appendix Table A6 Wisconsin uncertainty after retraining the historical models</w:t>
      </w:r>
    </w:p>
    <w:p>
      <w:pPr>
        <w:keepNext/>
        <w:spacing w:line="240" w:lineRule="auto" w:before="0" w:after="60"/>
        <w:ind w:firstLine="0"/>
        <w:jc w:val="left"/>
      </w:pPr>
      <w:r>
        <w:rPr>
          <w:rFonts w:ascii="Times New Roman" w:hAnsi="Times New Roman"/>
          <w:b w:val="0"/>
          <w:sz w:val="24"/>
        </w:rPr>
        <w:t>The first two adult-and-larval-coccinellid difference rows resample 10 development landscapes and either fix or separately resample 14 evaluation landscapes. The coupled row samples the 19-ID union and shares multiplicities across years, retaining the five overlapping identifiers. There were no empty train/test draws. Absence of larval training support occurred in 548/5,000 separate-development draws and 646/5,000 coupled draws; these resamples were retained. The separate-draw probability under the empirical two-positive-landscape composition is (8/10)¹⁰ = 0.1074. It is a property of this resampling design, not a prospective power calculation or a probability that the coccinellid-predictor effect is zero. Fixed-fit evaluation resampling alone gave −0.0586 to −0.0091. The refitting sensitivity ranges include zero.</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rPr>
          <w:cantSplit/>
          <w:tblHeader w:val="true"/>
          <w:cantSplit/>
          <w:tblHeader w:val="true"/>
        </w:trPr>
        <w:tc>
          <w:tcPr>
            <w:tcW w:type="dxa" w:w="3528"/>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Resampling quantity</w:t>
            </w:r>
          </w:p>
        </w:tc>
        <w:tc>
          <w:tcPr>
            <w:tcW w:type="dxa" w:w="1728"/>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Original-fit Δ</w:t>
            </w:r>
          </w:p>
        </w:tc>
        <w:tc>
          <w:tcPr>
            <w:tcW w:type="dxa" w:w="1728"/>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Central 95% range</w:t>
            </w:r>
          </w:p>
        </w:tc>
        <w:tc>
          <w:tcPr>
            <w:tcW w:type="dxa" w:w="1800"/>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Draws</w:t>
            </w:r>
          </w:p>
        </w:tc>
      </w:tr>
      <w:tr>
        <w:trPr>
          <w:cantSplit/>
          <w:cantSplit/>
        </w:trPr>
        <w:tc>
          <w:tcPr>
            <w:tcW w:type="dxa" w:w="35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Train refit / fixed evaluation</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-0.0357</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-0.1415 to 0.1018</w:t>
            </w:r>
          </w:p>
        </w:tc>
        <w:tc>
          <w:tcPr>
            <w:tcW w:type="dxa" w:w="1800"/>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5000</w:t>
            </w:r>
          </w:p>
        </w:tc>
      </w:tr>
      <w:tr>
        <w:trPr>
          <w:cantSplit/>
          <w:cantSplit/>
        </w:trPr>
        <w:tc>
          <w:tcPr>
            <w:tcW w:type="dxa" w:w="35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Train refit / separate evaluation</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-0.0357</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-0.1602 to 0.1057</w:t>
            </w:r>
          </w:p>
        </w:tc>
        <w:tc>
          <w:tcPr>
            <w:tcW w:type="dxa" w:w="1800"/>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5000</w:t>
            </w:r>
          </w:p>
        </w:tc>
      </w:tr>
      <w:tr>
        <w:trPr>
          <w:cantSplit/>
          <w:cantSplit/>
        </w:trPr>
        <w:tc>
          <w:tcPr>
            <w:tcW w:type="dxa" w:w="35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Train refit / versus persistence</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0.5852</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0.3882 to 0.8261</w:t>
            </w:r>
          </w:p>
        </w:tc>
        <w:tc>
          <w:tcPr>
            <w:tcW w:type="dxa" w:w="1800"/>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5000</w:t>
            </w:r>
          </w:p>
        </w:tc>
      </w:tr>
      <w:tr>
        <w:trPr>
          <w:cantSplit/>
          <w:cantSplit/>
        </w:trPr>
        <w:tc>
          <w:tcPr>
            <w:tcW w:type="dxa" w:w="35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Coupled shared-landscape refit</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-0.0357</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-0.1847 to 0.1033</w:t>
            </w:r>
          </w:p>
        </w:tc>
        <w:tc>
          <w:tcPr>
            <w:tcW w:type="dxa" w:w="1800"/>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5000</w:t>
            </w:r>
          </w:p>
        </w:tc>
      </w:tr>
    </w:tbl>
    <w:p>
      <w:pPr>
        <w:pageBreakBefore/>
        <w:spacing w:line="240" w:lineRule="auto" w:after="60" w:before="0"/>
        <w:ind w:firstLine="0"/>
        <w:jc w:val="left"/>
      </w:pPr>
    </w:p>
    <w:p>
      <w:pPr>
        <w:keepNext/>
        <w:pageBreakBefore w:val="0"/>
        <w:spacing w:line="240" w:lineRule="auto" w:before="0" w:after="60"/>
        <w:ind w:firstLine="0"/>
        <w:jc w:val="left"/>
      </w:pPr>
      <w:r>
        <w:rPr>
          <w:rFonts w:ascii="Times New Roman" w:hAnsi="Times New Roman"/>
          <w:b/>
          <w:sz w:val="20"/>
        </w:rPr>
        <w:t>Appendix Table A7 Wisconsin temperature and prediction clipping audit</w:t>
      </w:r>
    </w:p>
    <w:p>
      <w:pPr>
        <w:keepNext/>
        <w:spacing w:line="240" w:lineRule="auto" w:before="0" w:after="60"/>
        <w:ind w:firstLine="0"/>
        <w:jc w:val="left"/>
      </w:pPr>
      <w:r>
        <w:rPr>
          <w:rFonts w:ascii="Times New Roman" w:hAnsi="Times New Roman"/>
          <w:b w:val="0"/>
          <w:sz w:val="24"/>
        </w:rPr>
        <w:t>The origin temperature ranges are 19–31 in 2019 and 62–93 in 2021. The repository labels temperature as degrees Celsius, but no data-creator confirmation of a cross-year unit change was obtained. The Fahrenheit-to-Celsius transformation is a labeled assumption only. The raw-temperature model nearly collapses to the zero diagnostic; its small MAE is not interpreted as ecological skill. Raw bytes are preserved. Appendix Fig. A1 shows the clipping frequencies.</w:t>
      </w:r>
    </w:p>
    <w:tbl>
      <w:tblPr>
        <w:tblStyle w:val="TableGrid"/>
        <w:tblW w:type="auto" w:w="0"/>
        <w:jc w:val="center"/>
        <w:tblLayout w:type="autofit"/>
        <w:tblLook w:firstColumn="1" w:firstRow="1" w:lastColumn="0" w:lastRow="0" w:noHBand="0" w:noVBand="1" w:val="04A0"/>
      </w:tblPr>
      <w:tblGrid>
        <w:gridCol w:w="3120"/>
        <w:gridCol w:w="3120"/>
        <w:gridCol w:w="3120"/>
      </w:tblGrid>
      <w:tr>
        <w:trPr>
          <w:cantSplit/>
          <w:tblHeader w:val="true"/>
          <w:cantSplit/>
          <w:tblHeader w:val="true"/>
        </w:trPr>
        <w:tc>
          <w:tcPr>
            <w:tcW w:type="dxa" w:w="4032"/>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Specification</w:t>
            </w:r>
          </w:p>
        </w:tc>
        <w:tc>
          <w:tcPr>
            <w:tcW w:type="dxa" w:w="1440"/>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MAE</w:t>
            </w:r>
          </w:p>
        </w:tc>
        <w:tc>
          <w:tcPr>
            <w:tcW w:type="dxa" w:w="3312"/>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Zero predictions / 145</w:t>
            </w:r>
          </w:p>
        </w:tc>
      </w:tr>
      <w:tr>
        <w:trPr>
          <w:cantSplit/>
          <w:cantSplit/>
        </w:trPr>
        <w:tc>
          <w:tcPr>
            <w:tcW w:type="dxa" w:w="403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Raw temperature values</w:t>
            </w:r>
          </w:p>
        </w:tc>
        <w:tc>
          <w:tcPr>
            <w:tcW w:type="dxa" w:w="1440"/>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0.5174</w:t>
            </w:r>
          </w:p>
        </w:tc>
        <w:tc>
          <w:tcPr>
            <w:tcW w:type="dxa" w:w="33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144</w:t>
            </w:r>
          </w:p>
        </w:tc>
      </w:tr>
      <w:tr>
        <w:trPr>
          <w:cantSplit/>
          <w:cantSplit/>
        </w:trPr>
        <w:tc>
          <w:tcPr>
            <w:tcW w:type="dxa" w:w="403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Unconfirmed Fahrenheit conversion</w:t>
            </w:r>
          </w:p>
        </w:tc>
        <w:tc>
          <w:tcPr>
            <w:tcW w:type="dxa" w:w="1440"/>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2.1878</w:t>
            </w:r>
          </w:p>
        </w:tc>
        <w:tc>
          <w:tcPr>
            <w:tcW w:type="dxa" w:w="33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28</w:t>
            </w:r>
          </w:p>
        </w:tc>
      </w:tr>
      <w:tr>
        <w:trPr>
          <w:cantSplit/>
          <w:cantSplit/>
        </w:trPr>
        <w:tc>
          <w:tcPr>
            <w:tcW w:type="dxa" w:w="403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Constant zero diagnostic</w:t>
            </w:r>
          </w:p>
        </w:tc>
        <w:tc>
          <w:tcPr>
            <w:tcW w:type="dxa" w:w="1440"/>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0.5076</w:t>
            </w:r>
          </w:p>
        </w:tc>
        <w:tc>
          <w:tcPr>
            <w:tcW w:type="dxa" w:w="33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145</w:t>
            </w:r>
          </w:p>
        </w:tc>
      </w:tr>
    </w:tbl>
    <w:p>
      <w:pPr>
        <w:keepNext/>
        <w:pageBreakBefore/>
        <w:spacing w:line="240" w:lineRule="auto" w:before="0" w:after="60"/>
        <w:ind w:firstLine="0"/>
        <w:jc w:val="left"/>
      </w:pPr>
      <w:r>
        <w:rPr>
          <w:rFonts w:ascii="Times New Roman" w:hAnsi="Times New Roman"/>
          <w:b/>
          <w:sz w:val="20"/>
        </w:rPr>
        <w:t>Appendix Fig. A1</w:t>
      </w:r>
    </w:p>
    <w:p>
      <w:pPr>
        <w:keepNext/>
        <w:spacing w:line="240" w:lineRule="auto" w:before="0" w:after="60"/>
        <w:ind w:firstLine="0"/>
        <w:jc w:val="left"/>
      </w:pPr>
      <w:r>
        <w:rPr>
          <w:rFonts w:ascii="Times New Roman" w:hAnsi="Times New Roman" w:eastAsia="Times New Roman"/>
          <w:b w:val="0"/>
          <w:sz w:val="24"/>
        </w:rPr>
        <w:t>Zero forecasts in the Wisconsin temperature stress tests and the constant-zero diagnostic. Temperature transformations remain unconfirmed scenarios; these scores do not establish valid ecological prediction</w:t>
      </w:r>
    </w:p>
    <w:p>
      <w:pPr>
        <w:spacing w:line="240" w:lineRule="auto" w:before="0" w:after="60"/>
        <w:ind w:firstLine="0"/>
        <w:jc w:val="left"/>
      </w:pPr>
      <w:r>
        <w:rPr>
          <w:rFonts w:ascii="Times New Roman" w:hAnsi="Times New Roman" w:eastAsia="Times New Roman"/>
          <w:sz w:val="24"/>
        </w:rPr>
        <w:drawing>
          <wp:inline xmlns:a="http://schemas.openxmlformats.org/drawingml/2006/main" xmlns:pic="http://schemas.openxmlformats.org/drawingml/2006/picture">
            <wp:extent cx="5577840" cy="2646924"/>
            <wp:docPr id="1" name="Picture 1"/>
            <wp:cNvGraphicFramePr>
              <a:graphicFrameLocks noChangeAspect="1"/>
            </wp:cNvGraphicFramePr>
            <a:graphic>
              <a:graphicData uri="http://schemas.openxmlformats.org/drawingml/2006/picture">
                <pic:pic>
                  <pic:nvPicPr>
                    <pic:cNvPr id="0" name="FigS1_source.png"/>
                    <pic:cNvPicPr/>
                  </pic:nvPicPr>
                  <pic:blipFill>
                    <a:blip r:embed="rId11"/>
                    <a:stretch>
                      <a:fillRect/>
                    </a:stretch>
                  </pic:blipFill>
                  <pic:spPr>
                    <a:xfrm>
                      <a:off x="0" y="0"/>
                      <a:ext cx="5577840" cy="2646924"/>
                    </a:xfrm>
                    <a:prstGeom prst="rect"/>
                  </pic:spPr>
                </pic:pic>
              </a:graphicData>
            </a:graphic>
          </wp:inline>
        </w:drawing>
      </w:r>
    </w:p>
    <w:p>
      <w:pPr>
        <w:keepNext/>
        <w:pageBreakBefore/>
        <w:spacing w:line="240" w:lineRule="auto" w:before="0" w:after="60"/>
        <w:ind w:firstLine="0"/>
        <w:jc w:val="left"/>
      </w:pPr>
      <w:r>
        <w:rPr>
          <w:rFonts w:ascii="Times New Roman" w:hAnsi="Times New Roman"/>
          <w:b/>
          <w:sz w:val="20"/>
        </w:rPr>
        <w:t>Appendix Table A8 Evidence boundary and source verification register</w:t>
      </w:r>
    </w:p>
    <w:p>
      <w:pPr>
        <w:keepNext/>
        <w:spacing w:line="240" w:lineRule="auto" w:before="0" w:after="60"/>
        <w:ind w:firstLine="0"/>
        <w:jc w:val="left"/>
      </w:pPr>
      <w:r>
        <w:rPr>
          <w:rFonts w:ascii="Times New Roman" w:hAnsi="Times New Roman"/>
          <w:b w:val="0"/>
          <w:sz w:val="24"/>
        </w:rPr>
        <w:t>Original repository metadata and the local source bundle are archived in the repository archive. KNB bibliographic and design details were checked against those snapshots; current live KNB full-text validation is not claimed. Public Dryad documentation and the original Wisconsin source article were also consulted. These source checks do not resolve missing field ownership, management histories, observation availability or temperature units.</w:t>
      </w:r>
    </w:p>
    <w:tbl>
      <w:tblPr>
        <w:tblStyle w:val="TableGrid"/>
        <w:tblW w:type="auto" w:w="0"/>
        <w:jc w:val="center"/>
        <w:tblLayout w:type="autofit"/>
        <w:tblLook w:firstColumn="1" w:firstRow="1" w:lastColumn="0" w:lastRow="0" w:noHBand="0" w:noVBand="1" w:val="04A0"/>
      </w:tblPr>
      <w:tblGrid>
        <w:gridCol w:w="3120"/>
        <w:gridCol w:w="3120"/>
        <w:gridCol w:w="3120"/>
      </w:tblGrid>
      <w:tr>
        <w:trPr>
          <w:cantSplit/>
          <w:tblHeader w:val="true"/>
          <w:cantSplit/>
          <w:tblHeader w:val="true"/>
        </w:trPr>
        <w:tc>
          <w:tcPr>
            <w:tcW w:type="dxa" w:w="2592"/>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Evidence / material</w:t>
            </w:r>
          </w:p>
        </w:tc>
        <w:tc>
          <w:tcPr>
            <w:tcW w:type="dxa" w:w="4824"/>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Verified use</w:t>
            </w:r>
          </w:p>
        </w:tc>
        <w:tc>
          <w:tcPr>
            <w:tcW w:type="dxa" w:w="1512"/>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Not established</w:t>
            </w:r>
          </w:p>
        </w:tc>
      </w:tr>
      <w:tr>
        <w:trPr>
          <w:cantSplit/>
          <w:cantSplit/>
        </w:trPr>
        <w:tc>
          <w:tcPr>
            <w:tcW w:type="dxa" w:w="259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Wisconsin source tables</w:t>
            </w:r>
          </w:p>
        </w:tc>
        <w:tc>
          <w:tcPr>
            <w:tcW w:type="dxa" w:w="48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Exact duplicate sweep-source identity after newline normalization; source row links and prediction replay</w:t>
            </w:r>
          </w:p>
        </w:tc>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No added independent observations; temperature unit unresolved.</w:t>
            </w:r>
          </w:p>
        </w:tc>
      </w:tr>
      <w:tr>
        <w:trPr>
          <w:cantSplit/>
          <w:cantSplit/>
        </w:trPr>
        <w:tc>
          <w:tcPr>
            <w:tcW w:type="dxa" w:w="259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Indiana original archive</w:t>
            </w:r>
          </w:p>
        </w:tc>
        <w:tc>
          <w:tcPr>
            <w:tcW w:type="dxa" w:w="48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All 10 CSV members match the recovered bundle; four compatible plant tables reconstruct 834 visits</w:t>
            </w:r>
          </w:p>
        </w:tc>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The reanalysis does not recreate missing field ownership, weather or intervention histories.</w:t>
            </w:r>
          </w:p>
        </w:tc>
      </w:tr>
      <w:tr>
        <w:trPr>
          <w:cantSplit/>
          <w:cantSplit/>
        </w:trPr>
        <w:tc>
          <w:tcPr>
            <w:tcW w:type="dxa" w:w="259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KNB citation</w:t>
            </w:r>
          </w:p>
        </w:tc>
        <w:tc>
          <w:tcPr>
            <w:tcW w:type="dxa" w:w="48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Archived original EML/DataCite list sole depositor Ho Jung S. Yoo, publication year 2018</w:t>
            </w:r>
          </w:p>
        </w:tc>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Yoo and O’Neil 2009 is a separate methods article, not the dataset creator list.</w:t>
            </w:r>
          </w:p>
        </w:tc>
      </w:tr>
      <w:tr>
        <w:trPr>
          <w:cantSplit/>
          <w:cantSplit/>
        </w:trPr>
        <w:tc>
          <w:tcPr>
            <w:tcW w:type="dxa" w:w="259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Cards and egg assays</w:t>
            </w:r>
          </w:p>
        </w:tc>
        <w:tc>
          <w:tcPr>
            <w:tcW w:type="dxa" w:w="48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Ancillary sampling-method / contextual audits remain separately documented</w:t>
            </w:r>
          </w:p>
        </w:tc>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Cards are not origin-ready predictions without timing evidence; egg loss is not aphid- or lady-beetle-specific validation.</w:t>
            </w:r>
          </w:p>
        </w:tc>
      </w:tr>
      <w:tr>
        <w:trPr>
          <w:cantSplit/>
          <w:cantSplit/>
        </w:trPr>
        <w:tc>
          <w:tcPr>
            <w:tcW w:type="dxa" w:w="259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Source rights</w:t>
            </w:r>
          </w:p>
        </w:tc>
        <w:tc>
          <w:tcPr>
            <w:tcW w:type="dxa" w:w="48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Original Indiana EML states “no restrictions”; data attribution is preserved</w:t>
            </w:r>
          </w:p>
        </w:tc>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No new license overrides source terms; the earlier generated CC BY summary is not independent license evidence.</w:t>
            </w:r>
          </w:p>
        </w:tc>
      </w:tr>
      <w:tr>
        <w:trPr>
          <w:cantSplit/>
          <w:cantSplit/>
        </w:trPr>
        <w:tc>
          <w:tcPr>
            <w:tcW w:type="dxa" w:w="259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Validation design</w:t>
            </w:r>
          </w:p>
        </w:tc>
        <w:tc>
          <w:tcPr>
            <w:tcW w:type="dxa" w:w="482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Development/evaluation dates remain separated; all fixed specifications and sensitivity ranges retained</w:t>
            </w:r>
          </w:p>
        </w:tc>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Previously inspected years are not untouched tests and are not made confirmatory by a new version number.</w:t>
            </w:r>
          </w:p>
        </w:tc>
      </w:tr>
    </w:tbl>
    <w:p>
      <w:pPr>
        <w:keepNext/>
        <w:pageBreakBefore/>
        <w:spacing w:line="240" w:lineRule="auto" w:before="0" w:after="60"/>
        <w:ind w:firstLine="0"/>
        <w:jc w:val="left"/>
      </w:pPr>
      <w:r>
        <w:rPr>
          <w:rFonts w:ascii="Times New Roman" w:hAnsi="Times New Roman"/>
          <w:b/>
          <w:sz w:val="20"/>
        </w:rPr>
        <w:t>Appendix Table A9 Origin-stage support and additive contributions to overall log-scale adult- and larval-coccinellid differences</w:t>
      </w:r>
    </w:p>
    <w:p>
      <w:pPr>
        <w:keepNext/>
        <w:spacing w:line="240" w:lineRule="auto" w:before="0" w:after="60"/>
        <w:ind w:firstLine="0"/>
        <w:jc w:val="left"/>
      </w:pPr>
      <w:r>
        <w:rPr>
          <w:rFonts w:ascii="Times New Roman" w:hAnsi="Times New Roman" w:eastAsia="Times New Roman"/>
          <w:b w:val="0"/>
          <w:sz w:val="24"/>
        </w:rPr>
        <w:t>The four disjoint states use current adult and larval observations; they partition every evaluation pair. Within-state Δ is augmented minus current-only log-MAE. Its overall contribution is the within-state difference multiplied by the fraction of all pairs in that state; contributions sum to the unrounded overall difference. A dash denotes an empty state whose mean is undefined but whose total contribution is zero. Clusters are Wisconsin landscapes or Indiana physical fields. Absence of an observed count is not true predator absence. The augmented fit changes all coefficients, so this is a forecast-error decomposition, not a causal predator contribution.</w:t>
      </w:r>
    </w:p>
    <w:tbl>
      <w:tblPr>
        <w:tblStyle w:val="TableGrid"/>
        <w:tblW w:type="auto" w:w="0"/>
        <w:jc w:val="center"/>
        <w:tblLayout w:type="autofit"/>
        <w:tblLook w:firstColumn="1" w:firstRow="1" w:lastColumn="0" w:lastRow="0" w:noHBand="0" w:noVBand="1" w:val="04A0"/>
      </w:tblPr>
      <w:tblGrid>
        <w:gridCol w:w="1560"/>
        <w:gridCol w:w="1560"/>
        <w:gridCol w:w="1560"/>
        <w:gridCol w:w="1560"/>
        <w:gridCol w:w="1560"/>
        <w:gridCol w:w="1560"/>
      </w:tblGrid>
      <w:tr>
        <w:trPr>
          <w:cantSplit/>
          <w:tblHeader w:val="true"/>
          <w:cantSplit/>
          <w:tblHeader w:val="true"/>
        </w:trPr>
        <w:tc>
          <w:tcPr>
            <w:tcW w:type="dxa" w:w="1512"/>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Survey / target</w:t>
            </w:r>
          </w:p>
        </w:tc>
        <w:tc>
          <w:tcPr>
            <w:tcW w:type="dxa" w:w="1296"/>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Origin state</w:t>
            </w:r>
          </w:p>
        </w:tc>
        <w:tc>
          <w:tcPr>
            <w:tcW w:type="dxa" w:w="1008"/>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Pairs</w:t>
            </w:r>
          </w:p>
        </w:tc>
        <w:tc>
          <w:tcPr>
            <w:tcW w:type="dxa" w:w="1008"/>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Clusters</w:t>
            </w:r>
          </w:p>
        </w:tc>
        <w:tc>
          <w:tcPr>
            <w:tcW w:type="dxa" w:w="1296"/>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Within-state Δ</w:t>
            </w:r>
          </w:p>
        </w:tc>
        <w:tc>
          <w:tcPr>
            <w:tcW w:type="dxa" w:w="2808"/>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Overall contribution</w:t>
            </w:r>
          </w:p>
        </w:tc>
      </w:tr>
      <w:tr>
        <w:trPr>
          <w:cantSplit/>
          <w:cantSplit/>
        </w:trPr>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Wisconsin</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Neither observed</w:t>
            </w:r>
          </w:p>
        </w:tc>
        <w:tc>
          <w:tcPr>
            <w:tcW w:type="dxa" w:w="100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98</w:t>
            </w:r>
          </w:p>
        </w:tc>
        <w:tc>
          <w:tcPr>
            <w:tcW w:type="dxa" w:w="100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13</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+0.01683</w:t>
            </w:r>
          </w:p>
        </w:tc>
        <w:tc>
          <w:tcPr>
            <w:tcW w:type="dxa" w:w="280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+0.01138</w:t>
            </w:r>
          </w:p>
        </w:tc>
      </w:tr>
      <w:tr>
        <w:trPr>
          <w:cantSplit/>
          <w:cantSplit/>
        </w:trPr>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Wisconsin</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Adults only</w:t>
            </w:r>
          </w:p>
        </w:tc>
        <w:tc>
          <w:tcPr>
            <w:tcW w:type="dxa" w:w="100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40</w:t>
            </w:r>
          </w:p>
        </w:tc>
        <w:tc>
          <w:tcPr>
            <w:tcW w:type="dxa" w:w="100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13</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-0.19116</w:t>
            </w:r>
          </w:p>
        </w:tc>
        <w:tc>
          <w:tcPr>
            <w:tcW w:type="dxa" w:w="280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-0.05273</w:t>
            </w:r>
          </w:p>
        </w:tc>
      </w:tr>
      <w:tr>
        <w:trPr>
          <w:cantSplit/>
          <w:cantSplit/>
        </w:trPr>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Wisconsin</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Larvae only</w:t>
            </w:r>
          </w:p>
        </w:tc>
        <w:tc>
          <w:tcPr>
            <w:tcW w:type="dxa" w:w="100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4</w:t>
            </w:r>
          </w:p>
        </w:tc>
        <w:tc>
          <w:tcPr>
            <w:tcW w:type="dxa" w:w="100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3</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+0.17466</w:t>
            </w:r>
          </w:p>
        </w:tc>
        <w:tc>
          <w:tcPr>
            <w:tcW w:type="dxa" w:w="280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+0.00482</w:t>
            </w:r>
          </w:p>
        </w:tc>
      </w:tr>
      <w:tr>
        <w:trPr>
          <w:cantSplit/>
          <w:cantSplit/>
        </w:trPr>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Wisconsin</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Both observed</w:t>
            </w:r>
          </w:p>
        </w:tc>
        <w:tc>
          <w:tcPr>
            <w:tcW w:type="dxa" w:w="100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3</w:t>
            </w:r>
          </w:p>
        </w:tc>
        <w:tc>
          <w:tcPr>
            <w:tcW w:type="dxa" w:w="100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3</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+0.04174</w:t>
            </w:r>
          </w:p>
        </w:tc>
        <w:tc>
          <w:tcPr>
            <w:tcW w:type="dxa" w:w="280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+0.00086</w:t>
            </w:r>
          </w:p>
        </w:tc>
      </w:tr>
      <w:tr>
        <w:trPr>
          <w:cantSplit/>
          <w:cantSplit/>
        </w:trPr>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Indiana next</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Neither observed</w:t>
            </w:r>
          </w:p>
        </w:tc>
        <w:tc>
          <w:tcPr>
            <w:tcW w:type="dxa" w:w="100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215</w:t>
            </w:r>
          </w:p>
        </w:tc>
        <w:tc>
          <w:tcPr>
            <w:tcW w:type="dxa" w:w="100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7</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-0.00304</w:t>
            </w:r>
          </w:p>
        </w:tc>
        <w:tc>
          <w:tcPr>
            <w:tcW w:type="dxa" w:w="280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-0.00284</w:t>
            </w:r>
          </w:p>
        </w:tc>
      </w:tr>
      <w:tr>
        <w:trPr>
          <w:cantSplit/>
          <w:cantSplit/>
        </w:trPr>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Indiana next</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Adults only</w:t>
            </w:r>
          </w:p>
        </w:tc>
        <w:tc>
          <w:tcPr>
            <w:tcW w:type="dxa" w:w="100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11</w:t>
            </w:r>
          </w:p>
        </w:tc>
        <w:tc>
          <w:tcPr>
            <w:tcW w:type="dxa" w:w="100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+0.00510</w:t>
            </w:r>
          </w:p>
        </w:tc>
        <w:tc>
          <w:tcPr>
            <w:tcW w:type="dxa" w:w="280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+0.00024</w:t>
            </w:r>
          </w:p>
        </w:tc>
      </w:tr>
      <w:tr>
        <w:trPr>
          <w:cantSplit/>
          <w:cantSplit/>
        </w:trPr>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Indiana next</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Larvae only</w:t>
            </w:r>
          </w:p>
        </w:tc>
        <w:tc>
          <w:tcPr>
            <w:tcW w:type="dxa" w:w="100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4</w:t>
            </w:r>
          </w:p>
        </w:tc>
        <w:tc>
          <w:tcPr>
            <w:tcW w:type="dxa" w:w="100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+0.08882</w:t>
            </w:r>
          </w:p>
        </w:tc>
        <w:tc>
          <w:tcPr>
            <w:tcW w:type="dxa" w:w="280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+0.00154</w:t>
            </w:r>
          </w:p>
        </w:tc>
      </w:tr>
      <w:tr>
        <w:trPr>
          <w:cantSplit/>
          <w:cantSplit/>
        </w:trPr>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Indiana next</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Both observed</w:t>
            </w:r>
          </w:p>
        </w:tc>
        <w:tc>
          <w:tcPr>
            <w:tcW w:type="dxa" w:w="100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w:t>
            </w:r>
          </w:p>
        </w:tc>
        <w:tc>
          <w:tcPr>
            <w:tcW w:type="dxa" w:w="100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w:t>
            </w:r>
          </w:p>
        </w:tc>
        <w:tc>
          <w:tcPr>
            <w:tcW w:type="dxa" w:w="280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+0.00000</w:t>
            </w:r>
          </w:p>
        </w:tc>
      </w:tr>
      <w:tr>
        <w:trPr>
          <w:cantSplit/>
          <w:cantSplit/>
        </w:trPr>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Indiana 3 weeks</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Neither observed</w:t>
            </w:r>
          </w:p>
        </w:tc>
        <w:tc>
          <w:tcPr>
            <w:tcW w:type="dxa" w:w="100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184</w:t>
            </w:r>
          </w:p>
        </w:tc>
        <w:tc>
          <w:tcPr>
            <w:tcW w:type="dxa" w:w="100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7</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-0.01230</w:t>
            </w:r>
          </w:p>
        </w:tc>
        <w:tc>
          <w:tcPr>
            <w:tcW w:type="dxa" w:w="280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-0.01167</w:t>
            </w:r>
          </w:p>
        </w:tc>
      </w:tr>
      <w:tr>
        <w:trPr>
          <w:cantSplit/>
          <w:cantSplit/>
        </w:trPr>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Indiana 3 weeks</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Adults only</w:t>
            </w:r>
          </w:p>
        </w:tc>
        <w:tc>
          <w:tcPr>
            <w:tcW w:type="dxa" w:w="100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8</w:t>
            </w:r>
          </w:p>
        </w:tc>
        <w:tc>
          <w:tcPr>
            <w:tcW w:type="dxa" w:w="100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+0.02329</w:t>
            </w:r>
          </w:p>
        </w:tc>
        <w:tc>
          <w:tcPr>
            <w:tcW w:type="dxa" w:w="280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+0.00096</w:t>
            </w:r>
          </w:p>
        </w:tc>
      </w:tr>
      <w:tr>
        <w:trPr>
          <w:cantSplit/>
          <w:cantSplit/>
        </w:trPr>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Indiana 3 weeks</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Larvae only</w:t>
            </w:r>
          </w:p>
        </w:tc>
        <w:tc>
          <w:tcPr>
            <w:tcW w:type="dxa" w:w="100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w:t>
            </w:r>
          </w:p>
        </w:tc>
        <w:tc>
          <w:tcPr>
            <w:tcW w:type="dxa" w:w="100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+0.03542</w:t>
            </w:r>
          </w:p>
        </w:tc>
        <w:tc>
          <w:tcPr>
            <w:tcW w:type="dxa" w:w="280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+0.00037</w:t>
            </w:r>
          </w:p>
        </w:tc>
      </w:tr>
      <w:tr>
        <w:trPr>
          <w:cantSplit/>
          <w:cantSplit/>
        </w:trPr>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Indiana 3 weeks</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Both observed</w:t>
            </w:r>
          </w:p>
        </w:tc>
        <w:tc>
          <w:tcPr>
            <w:tcW w:type="dxa" w:w="100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w:t>
            </w:r>
          </w:p>
        </w:tc>
        <w:tc>
          <w:tcPr>
            <w:tcW w:type="dxa" w:w="100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w:t>
            </w:r>
          </w:p>
        </w:tc>
        <w:tc>
          <w:tcPr>
            <w:tcW w:type="dxa" w:w="280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+0.00000</w:t>
            </w:r>
          </w:p>
        </w:tc>
      </w:tr>
    </w:tbl>
    <w:p>
      <w:pPr>
        <w:keepNext/>
        <w:pageBreakBefore/>
        <w:spacing w:line="240" w:lineRule="auto" w:before="0" w:after="60"/>
        <w:ind w:firstLine="0"/>
        <w:jc w:val="left"/>
      </w:pPr>
      <w:r>
        <w:rPr>
          <w:rFonts w:ascii="Times New Roman" w:hAnsi="Times New Roman"/>
          <w:b/>
          <w:sz w:val="20"/>
        </w:rPr>
        <w:t>Appendix Table A10 Fixed-forecast sensitivity to omission of each Indiana evaluation field</w:t>
      </w:r>
    </w:p>
    <w:p>
      <w:pPr>
        <w:keepNext/>
        <w:spacing w:line="240" w:lineRule="auto" w:before="0" w:after="60"/>
        <w:ind w:firstLine="0"/>
        <w:jc w:val="left"/>
      </w:pPr>
      <w:r>
        <w:rPr>
          <w:rFonts w:ascii="Times New Roman" w:hAnsi="Times New Roman"/>
          <w:b w:val="0"/>
          <w:sz w:val="24"/>
        </w:rPr>
        <w:t>All historical predictions remain fixed. Omitting a field removes all its evaluation pairs and then recomputes pair-weighted differences. No model is refitted and no field is selected as the preferred analysis. Coccinellid Δ compares adult and larval coccinellids with current aphids alone; the last column compares adult and larval coccinellids with persistence. All scores use log(1 + aphids per plant). The full cluster-contribution and equal-field exclusion tables are supplied as machine-readable CSVs in the repository archive. This sensitivity is not a confidence interval, an independent study or a causal contrast.</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rPr>
          <w:cantSplit/>
          <w:tblHeader w:val="true"/>
          <w:cantSplit/>
          <w:tblHeader w:val="true"/>
        </w:trPr>
        <w:tc>
          <w:tcPr>
            <w:tcW w:type="dxa" w:w="1512"/>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Target</w:t>
            </w:r>
          </w:p>
        </w:tc>
        <w:tc>
          <w:tcPr>
            <w:tcW w:type="dxa" w:w="1296"/>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Excluded field</w:t>
            </w:r>
          </w:p>
        </w:tc>
        <w:tc>
          <w:tcPr>
            <w:tcW w:type="dxa" w:w="2016"/>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Remaining pairs</w:t>
            </w:r>
          </w:p>
        </w:tc>
        <w:tc>
          <w:tcPr>
            <w:tcW w:type="dxa" w:w="2016"/>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b/>
                <w:sz w:val="16"/>
              </w:rPr>
              <w:t>Coccinellid Δ</w:t>
            </w:r>
          </w:p>
        </w:tc>
        <w:tc>
          <w:tcPr>
            <w:tcW w:type="dxa" w:w="1944"/>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Δ vs persistence</w:t>
            </w:r>
          </w:p>
        </w:tc>
      </w:tr>
      <w:tr>
        <w:trPr>
          <w:cantSplit/>
          <w:cantSplit/>
        </w:trPr>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Indiana next</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ACRE-2006-ACRE42and43</w:t>
            </w:r>
          </w:p>
        </w:tc>
        <w:tc>
          <w:tcPr>
            <w:tcW w:type="dxa" w:w="201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89</w:t>
            </w:r>
          </w:p>
        </w:tc>
        <w:tc>
          <w:tcPr>
            <w:tcW w:type="dxa" w:w="201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-0.00704</w:t>
            </w:r>
          </w:p>
        </w:tc>
        <w:tc>
          <w:tcPr>
            <w:tcW w:type="dxa" w:w="194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+0.01308</w:t>
            </w:r>
          </w:p>
        </w:tc>
      </w:tr>
      <w:tr>
        <w:trPr>
          <w:cantSplit/>
          <w:cantSplit/>
        </w:trPr>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Indiana next</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TRANS-2006-E-1</w:t>
            </w:r>
          </w:p>
        </w:tc>
        <w:tc>
          <w:tcPr>
            <w:tcW w:type="dxa" w:w="201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215</w:t>
            </w:r>
          </w:p>
        </w:tc>
        <w:tc>
          <w:tcPr>
            <w:tcW w:type="dxa" w:w="201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+0.00040</w:t>
            </w:r>
          </w:p>
        </w:tc>
        <w:tc>
          <w:tcPr>
            <w:tcW w:type="dxa" w:w="194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+0.01797</w:t>
            </w:r>
          </w:p>
        </w:tc>
      </w:tr>
      <w:tr>
        <w:trPr>
          <w:cantSplit/>
          <w:cantSplit/>
        </w:trPr>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Indiana next</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TRANS-2006-E-2</w:t>
            </w:r>
          </w:p>
        </w:tc>
        <w:tc>
          <w:tcPr>
            <w:tcW w:type="dxa" w:w="201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214</w:t>
            </w:r>
          </w:p>
        </w:tc>
        <w:tc>
          <w:tcPr>
            <w:tcW w:type="dxa" w:w="201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-0.00308</w:t>
            </w:r>
          </w:p>
        </w:tc>
        <w:tc>
          <w:tcPr>
            <w:tcW w:type="dxa" w:w="194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+0.02036</w:t>
            </w:r>
          </w:p>
        </w:tc>
      </w:tr>
      <w:tr>
        <w:trPr>
          <w:cantSplit/>
          <w:cantSplit/>
        </w:trPr>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Indiana next</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TRANS-2006-E-3</w:t>
            </w:r>
          </w:p>
        </w:tc>
        <w:tc>
          <w:tcPr>
            <w:tcW w:type="dxa" w:w="201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216</w:t>
            </w:r>
          </w:p>
        </w:tc>
        <w:tc>
          <w:tcPr>
            <w:tcW w:type="dxa" w:w="201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+0.00390</w:t>
            </w:r>
          </w:p>
        </w:tc>
        <w:tc>
          <w:tcPr>
            <w:tcW w:type="dxa" w:w="194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+0.02267</w:t>
            </w:r>
          </w:p>
        </w:tc>
      </w:tr>
      <w:tr>
        <w:trPr>
          <w:cantSplit/>
          <w:cantSplit/>
        </w:trPr>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Indiana next</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TRANS-2006-E-4</w:t>
            </w:r>
          </w:p>
        </w:tc>
        <w:tc>
          <w:tcPr>
            <w:tcW w:type="dxa" w:w="201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215</w:t>
            </w:r>
          </w:p>
        </w:tc>
        <w:tc>
          <w:tcPr>
            <w:tcW w:type="dxa" w:w="201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-0.00037</w:t>
            </w:r>
          </w:p>
        </w:tc>
        <w:tc>
          <w:tcPr>
            <w:tcW w:type="dxa" w:w="194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+0.01905</w:t>
            </w:r>
          </w:p>
        </w:tc>
      </w:tr>
      <w:tr>
        <w:trPr>
          <w:cantSplit/>
          <w:cantSplit/>
        </w:trPr>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Indiana next</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TRANS-2006-E-5</w:t>
            </w:r>
          </w:p>
        </w:tc>
        <w:tc>
          <w:tcPr>
            <w:tcW w:type="dxa" w:w="201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216</w:t>
            </w:r>
          </w:p>
        </w:tc>
        <w:tc>
          <w:tcPr>
            <w:tcW w:type="dxa" w:w="201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-0.00202</w:t>
            </w:r>
          </w:p>
        </w:tc>
        <w:tc>
          <w:tcPr>
            <w:tcW w:type="dxa" w:w="194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+0.01987</w:t>
            </w:r>
          </w:p>
        </w:tc>
      </w:tr>
      <w:tr>
        <w:trPr>
          <w:cantSplit/>
          <w:cantSplit/>
        </w:trPr>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Indiana next</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TRANS-2006-E-6</w:t>
            </w:r>
          </w:p>
        </w:tc>
        <w:tc>
          <w:tcPr>
            <w:tcW w:type="dxa" w:w="201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215</w:t>
            </w:r>
          </w:p>
        </w:tc>
        <w:tc>
          <w:tcPr>
            <w:tcW w:type="dxa" w:w="201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-0.00270</w:t>
            </w:r>
          </w:p>
        </w:tc>
        <w:tc>
          <w:tcPr>
            <w:tcW w:type="dxa" w:w="194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+0.01816</w:t>
            </w:r>
          </w:p>
        </w:tc>
      </w:tr>
      <w:tr>
        <w:trPr>
          <w:cantSplit/>
          <w:cantSplit/>
        </w:trPr>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Indiana 3 weeks</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ACRE-2006-ACRE42and43</w:t>
            </w:r>
          </w:p>
        </w:tc>
        <w:tc>
          <w:tcPr>
            <w:tcW w:type="dxa" w:w="201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71</w:t>
            </w:r>
          </w:p>
        </w:tc>
        <w:tc>
          <w:tcPr>
            <w:tcW w:type="dxa" w:w="201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-0.00158</w:t>
            </w:r>
          </w:p>
        </w:tc>
        <w:tc>
          <w:tcPr>
            <w:tcW w:type="dxa" w:w="194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+0.02249</w:t>
            </w:r>
          </w:p>
        </w:tc>
      </w:tr>
      <w:tr>
        <w:trPr>
          <w:cantSplit/>
          <w:cantSplit/>
        </w:trPr>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Indiana 3 weeks</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TRANS-2006-E-1</w:t>
            </w:r>
          </w:p>
        </w:tc>
        <w:tc>
          <w:tcPr>
            <w:tcW w:type="dxa" w:w="201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182</w:t>
            </w:r>
          </w:p>
        </w:tc>
        <w:tc>
          <w:tcPr>
            <w:tcW w:type="dxa" w:w="201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-0.00844</w:t>
            </w:r>
          </w:p>
        </w:tc>
        <w:tc>
          <w:tcPr>
            <w:tcW w:type="dxa" w:w="194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-0.04241</w:t>
            </w:r>
          </w:p>
        </w:tc>
      </w:tr>
      <w:tr>
        <w:trPr>
          <w:cantSplit/>
          <w:cantSplit/>
        </w:trPr>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Indiana 3 weeks</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TRANS-2006-E-2</w:t>
            </w:r>
          </w:p>
        </w:tc>
        <w:tc>
          <w:tcPr>
            <w:tcW w:type="dxa" w:w="201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181</w:t>
            </w:r>
          </w:p>
        </w:tc>
        <w:tc>
          <w:tcPr>
            <w:tcW w:type="dxa" w:w="201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-0.01474</w:t>
            </w:r>
          </w:p>
        </w:tc>
        <w:tc>
          <w:tcPr>
            <w:tcW w:type="dxa" w:w="194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-0.03311</w:t>
            </w:r>
          </w:p>
        </w:tc>
      </w:tr>
      <w:tr>
        <w:trPr>
          <w:cantSplit/>
          <w:cantSplit/>
        </w:trPr>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Indiana 3 weeks</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TRANS-2006-E-3</w:t>
            </w:r>
          </w:p>
        </w:tc>
        <w:tc>
          <w:tcPr>
            <w:tcW w:type="dxa" w:w="201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183</w:t>
            </w:r>
          </w:p>
        </w:tc>
        <w:tc>
          <w:tcPr>
            <w:tcW w:type="dxa" w:w="201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-0.00472</w:t>
            </w:r>
          </w:p>
        </w:tc>
        <w:tc>
          <w:tcPr>
            <w:tcW w:type="dxa" w:w="194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-0.03137</w:t>
            </w:r>
          </w:p>
        </w:tc>
      </w:tr>
      <w:tr>
        <w:trPr>
          <w:cantSplit/>
          <w:cantSplit/>
        </w:trPr>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Indiana 3 weeks</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TRANS-2006-E-4</w:t>
            </w:r>
          </w:p>
        </w:tc>
        <w:tc>
          <w:tcPr>
            <w:tcW w:type="dxa" w:w="201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182</w:t>
            </w:r>
          </w:p>
        </w:tc>
        <w:tc>
          <w:tcPr>
            <w:tcW w:type="dxa" w:w="201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-0.01000</w:t>
            </w:r>
          </w:p>
        </w:tc>
        <w:tc>
          <w:tcPr>
            <w:tcW w:type="dxa" w:w="194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-0.05067</w:t>
            </w:r>
          </w:p>
        </w:tc>
      </w:tr>
      <w:tr>
        <w:trPr>
          <w:cantSplit/>
          <w:cantSplit/>
        </w:trPr>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Indiana 3 weeks</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TRANS-2006-E-5</w:t>
            </w:r>
          </w:p>
        </w:tc>
        <w:tc>
          <w:tcPr>
            <w:tcW w:type="dxa" w:w="201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183</w:t>
            </w:r>
          </w:p>
        </w:tc>
        <w:tc>
          <w:tcPr>
            <w:tcW w:type="dxa" w:w="201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-0.01027</w:t>
            </w:r>
          </w:p>
        </w:tc>
        <w:tc>
          <w:tcPr>
            <w:tcW w:type="dxa" w:w="194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-0.04546</w:t>
            </w:r>
          </w:p>
        </w:tc>
      </w:tr>
      <w:tr>
        <w:trPr>
          <w:cantSplit/>
          <w:cantSplit/>
        </w:trPr>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Indiana 3 weeks</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TRANS-2006-E-6</w:t>
            </w:r>
          </w:p>
        </w:tc>
        <w:tc>
          <w:tcPr>
            <w:tcW w:type="dxa" w:w="201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182</w:t>
            </w:r>
          </w:p>
        </w:tc>
        <w:tc>
          <w:tcPr>
            <w:tcW w:type="dxa" w:w="201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-0.01737</w:t>
            </w:r>
          </w:p>
        </w:tc>
        <w:tc>
          <w:tcPr>
            <w:tcW w:type="dxa" w:w="1944"/>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-0.03925</w:t>
            </w:r>
          </w:p>
        </w:tc>
      </w:tr>
    </w:tbl>
    <w:p>
      <w:pPr>
        <w:keepNext/>
        <w:pageBreakBefore/>
        <w:spacing w:line="240" w:lineRule="auto" w:before="0" w:after="60"/>
        <w:ind w:firstLine="0"/>
        <w:jc w:val="left"/>
      </w:pPr>
      <w:r>
        <w:rPr>
          <w:rFonts w:ascii="Times New Roman" w:hAnsi="Times New Roman"/>
          <w:b/>
          <w:sz w:val="20"/>
        </w:rPr>
        <w:t>Appendix Table A11. Wheat source pairing and forward-year support</w:t>
      </w:r>
    </w:p>
    <w:p>
      <w:pPr>
        <w:keepNext/>
        <w:spacing w:line="240" w:lineRule="auto" w:before="0" w:after="60"/>
        <w:ind w:firstLine="0"/>
        <w:jc w:val="left"/>
      </w:pPr>
      <w:r>
        <w:rPr>
          <w:rFonts w:ascii="Times New Roman" w:hAnsi="Times New Roman" w:eastAsia="Times New Roman"/>
          <w:b w:val="0"/>
          <w:sz w:val="24"/>
        </w:rPr>
        <w:t>Five ten-tiller subsamples are averaged per physical plot and date. The same 24 plots recur by year. Data and future targets are never merged across crops or sampling units. The aphid target sums only the two source-recorded species. The 2016 test later enters the training window for 2017; the folds are sequential, not two untouched confirmations.</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rPr>
          <w:cantSplit/>
          <w:tblHeader w:val="true"/>
          <w:cantSplit/>
          <w:tblHeader w:val="true"/>
        </w:trPr>
        <w:tc>
          <w:tcPr>
            <w:tcW w:type="dxa" w:w="2520"/>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Subset</w:t>
            </w:r>
          </w:p>
        </w:tc>
        <w:tc>
          <w:tcPr>
            <w:tcW w:type="dxa" w:w="1296"/>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Pairs</w:t>
            </w:r>
          </w:p>
        </w:tc>
        <w:tc>
          <w:tcPr>
            <w:tcW w:type="dxa" w:w="3096"/>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i/>
                <w:sz w:val="16"/>
              </w:rPr>
              <w:t>H. axyridis</w:t>
            </w:r>
            <w:r>
              <w:rPr>
                <w:rFonts w:ascii="Times New Roman" w:hAnsi="Times New Roman" w:eastAsia="Times New Roman"/>
                <w:b/>
                <w:sz w:val="16"/>
              </w:rPr>
              <w:t>-positive origins</w:t>
            </w:r>
          </w:p>
        </w:tc>
        <w:tc>
          <w:tcPr>
            <w:tcW w:type="dxa" w:w="1728"/>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Physical plots</w:t>
            </w:r>
          </w:p>
        </w:tc>
      </w:tr>
      <w:tr>
        <w:trPr>
          <w:cantSplit/>
          <w:cantSplit/>
        </w:trPr>
        <w:tc>
          <w:tcPr>
            <w:tcW w:type="dxa" w:w="2520"/>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2015 training</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288</w:t>
            </w:r>
          </w:p>
        </w:tc>
        <w:tc>
          <w:tcPr>
            <w:tcW w:type="dxa" w:w="30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75</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24</w:t>
            </w:r>
          </w:p>
        </w:tc>
      </w:tr>
      <w:tr>
        <w:trPr>
          <w:cantSplit/>
          <w:cantSplit/>
        </w:trPr>
        <w:tc>
          <w:tcPr>
            <w:tcW w:type="dxa" w:w="2520"/>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2016 test</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276</w:t>
            </w:r>
          </w:p>
        </w:tc>
        <w:tc>
          <w:tcPr>
            <w:tcW w:type="dxa" w:w="30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74</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24</w:t>
            </w:r>
          </w:p>
        </w:tc>
      </w:tr>
      <w:tr>
        <w:trPr>
          <w:cantSplit/>
          <w:cantSplit/>
        </w:trPr>
        <w:tc>
          <w:tcPr>
            <w:tcW w:type="dxa" w:w="2520"/>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2015–2016 training</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564</w:t>
            </w:r>
          </w:p>
        </w:tc>
        <w:tc>
          <w:tcPr>
            <w:tcW w:type="dxa" w:w="30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149</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24</w:t>
            </w:r>
          </w:p>
        </w:tc>
      </w:tr>
      <w:tr>
        <w:trPr>
          <w:cantSplit/>
          <w:cantSplit/>
        </w:trPr>
        <w:tc>
          <w:tcPr>
            <w:tcW w:type="dxa" w:w="2520"/>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2017 test</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264</w:t>
            </w:r>
          </w:p>
        </w:tc>
        <w:tc>
          <w:tcPr>
            <w:tcW w:type="dxa" w:w="30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122</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24</w:t>
            </w:r>
          </w:p>
        </w:tc>
      </w:tr>
      <w:tr>
        <w:trPr>
          <w:cantSplit/>
          <w:cantSplit/>
        </w:trPr>
        <w:tc>
          <w:tcPr>
            <w:tcW w:type="dxa" w:w="2520"/>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All plot-dates</w:t>
            </w:r>
          </w:p>
        </w:tc>
        <w:tc>
          <w:tcPr>
            <w:tcW w:type="dxa" w:w="12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900 plot-dates</w:t>
            </w:r>
          </w:p>
        </w:tc>
        <w:tc>
          <w:tcPr>
            <w:tcW w:type="dxa" w:w="309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Not a pair count</w:t>
            </w:r>
          </w:p>
        </w:tc>
        <w:tc>
          <w:tcPr>
            <w:tcW w:type="dxa" w:w="172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24; 72 plot-years</w:t>
            </w:r>
          </w:p>
        </w:tc>
      </w:tr>
    </w:tbl>
    <w:p>
      <w:pPr>
        <w:pageBreakBefore/>
        <w:spacing w:line="240" w:lineRule="auto" w:after="60" w:before="0"/>
        <w:ind w:firstLine="0"/>
        <w:jc w:val="left"/>
      </w:pPr>
    </w:p>
    <w:p>
      <w:pPr>
        <w:keepNext/>
        <w:pageBreakBefore w:val="0"/>
        <w:spacing w:line="240" w:lineRule="auto" w:before="0" w:after="60"/>
        <w:ind w:firstLine="0"/>
        <w:jc w:val="left"/>
      </w:pPr>
      <w:r>
        <w:rPr>
          <w:rFonts w:ascii="Times New Roman" w:hAnsi="Times New Roman"/>
          <w:b/>
          <w:sz w:val="20"/>
        </w:rPr>
        <w:t>Appendix Table A12. Wheat training-range and calendar sensitivity</w:t>
      </w:r>
    </w:p>
    <w:p>
      <w:pPr>
        <w:keepNext/>
        <w:spacing w:line="240" w:lineRule="auto" w:before="0" w:after="60"/>
        <w:ind w:firstLine="0"/>
        <w:jc w:val="left"/>
      </w:pPr>
      <w:r>
        <w:rPr>
          <w:rFonts w:ascii="Times New Roman" w:hAnsi="Times New Roman" w:eastAsia="Times New Roman"/>
          <w:b w:val="0"/>
          <w:sz w:val="24"/>
        </w:rPr>
        <w:t xml:space="preserve">The fixed-prediction subsets are exploratory site-stratified physical-plot resamples without refitting. Date is the main clock because 300 of 900 plot-dates disagree with JDay. </w:t>
      </w:r>
      <w:r>
        <w:rPr>
          <w:rFonts w:ascii="Times New Roman" w:hAnsi="Times New Roman" w:eastAsia="Times New Roman"/>
          <w:b w:val="0"/>
          <w:i/>
          <w:sz w:val="24"/>
        </w:rPr>
        <w:t>H. axyridis</w:t>
      </w:r>
      <w:r>
        <w:rPr>
          <w:rFonts w:ascii="Times New Roman" w:hAnsi="Times New Roman" w:eastAsia="Times New Roman"/>
          <w:b w:val="0"/>
          <w:sz w:val="24"/>
        </w:rPr>
        <w:t xml:space="preserve"> is compared with the matched species-resolved background; these subsets do not identify a site-independent mechanism.</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rPr>
          <w:cantSplit/>
          <w:tblHeader w:val="true"/>
          <w:cantSplit/>
          <w:tblHeader w:val="true"/>
        </w:trPr>
        <w:tc>
          <w:tcPr>
            <w:tcW w:type="dxa" w:w="3240"/>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Test subset</w:t>
            </w:r>
          </w:p>
        </w:tc>
        <w:tc>
          <w:tcPr>
            <w:tcW w:type="dxa" w:w="1008"/>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Pairs</w:t>
            </w:r>
          </w:p>
        </w:tc>
        <w:tc>
          <w:tcPr>
            <w:tcW w:type="dxa" w:w="1512"/>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Persistence</w:t>
            </w:r>
          </w:p>
        </w:tc>
        <w:tc>
          <w:tcPr>
            <w:tcW w:type="dxa" w:w="1512"/>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Species only</w:t>
            </w:r>
          </w:p>
        </w:tc>
        <w:tc>
          <w:tcPr>
            <w:tcW w:type="dxa" w:w="1656"/>
            <w:vAlign w:val="center"/>
            <w:tcMar>
              <w:top w:w="40" w:type="dxa"/>
              <w:start w:w="55" w:type="dxa"/>
              <w:bottom w:w="40" w:type="dxa"/>
              <w:end w:w="55" w:type="dxa"/>
            </w:tcMar>
            <w:shd w:fill="D9EAF7"/>
          </w:tcPr>
          <w:p>
            <w:pPr>
              <w:spacing w:line="240" w:lineRule="auto" w:before="0" w:after="0"/>
              <w:ind w:firstLine="0"/>
              <w:jc w:val="left"/>
            </w:pPr>
            <w:r>
              <w:rPr>
                <w:rFonts w:ascii="Times New Roman" w:hAnsi="Times New Roman" w:eastAsia="Times New Roman"/>
                <w:b/>
                <w:sz w:val="16"/>
              </w:rPr>
              <w:t xml:space="preserve">Species + </w:t>
            </w:r>
            <w:r>
              <w:rPr>
                <w:rFonts w:ascii="Times New Roman" w:hAnsi="Times New Roman" w:eastAsia="Times New Roman"/>
                <w:b/>
                <w:i/>
                <w:sz w:val="16"/>
              </w:rPr>
              <w:t>H. axyridis</w:t>
            </w:r>
          </w:p>
        </w:tc>
      </w:tr>
      <w:tr>
        <w:trPr>
          <w:cantSplit/>
          <w:cantSplit/>
        </w:trPr>
        <w:tc>
          <w:tcPr>
            <w:tcW w:type="dxa" w:w="3240"/>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Pooled</w:t>
            </w:r>
          </w:p>
        </w:tc>
        <w:tc>
          <w:tcPr>
            <w:tcW w:type="dxa" w:w="100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540</w:t>
            </w:r>
          </w:p>
        </w:tc>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1.0541</w:t>
            </w:r>
          </w:p>
        </w:tc>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1.3166</w:t>
            </w:r>
          </w:p>
        </w:tc>
        <w:tc>
          <w:tcPr>
            <w:tcW w:type="dxa" w:w="165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1.2367</w:t>
            </w:r>
          </w:p>
        </w:tc>
      </w:tr>
      <w:tr>
        <w:trPr>
          <w:cantSplit/>
          <w:cantSplit/>
        </w:trPr>
        <w:tc>
          <w:tcPr>
            <w:tcW w:type="dxa" w:w="3240"/>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b w:val="0"/>
                <w:sz w:val="16"/>
              </w:rPr>
              <w:t xml:space="preserve">Within training </w:t>
            </w:r>
            <w:r>
              <w:rPr>
                <w:rFonts w:ascii="Times New Roman" w:hAnsi="Times New Roman" w:eastAsia="Times New Roman"/>
                <w:b w:val="0"/>
                <w:i/>
                <w:sz w:val="16"/>
              </w:rPr>
              <w:t>H. axyridis</w:t>
            </w:r>
            <w:r>
              <w:rPr>
                <w:rFonts w:ascii="Times New Roman" w:hAnsi="Times New Roman" w:eastAsia="Times New Roman"/>
                <w:b w:val="0"/>
                <w:sz w:val="16"/>
              </w:rPr>
              <w:t xml:space="preserve"> range</w:t>
            </w:r>
          </w:p>
        </w:tc>
        <w:tc>
          <w:tcPr>
            <w:tcW w:type="dxa" w:w="100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498</w:t>
            </w:r>
          </w:p>
        </w:tc>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0.9720</w:t>
            </w:r>
          </w:p>
        </w:tc>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1.2392</w:t>
            </w:r>
          </w:p>
        </w:tc>
        <w:tc>
          <w:tcPr>
            <w:tcW w:type="dxa" w:w="165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1.2330</w:t>
            </w:r>
          </w:p>
        </w:tc>
      </w:tr>
      <w:tr>
        <w:trPr>
          <w:cantSplit/>
          <w:cantSplit/>
        </w:trPr>
        <w:tc>
          <w:tcPr>
            <w:tcW w:type="dxa" w:w="3240"/>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b w:val="0"/>
                <w:sz w:val="16"/>
              </w:rPr>
              <w:t xml:space="preserve">Above training </w:t>
            </w:r>
            <w:r>
              <w:rPr>
                <w:rFonts w:ascii="Times New Roman" w:hAnsi="Times New Roman" w:eastAsia="Times New Roman"/>
                <w:b w:val="0"/>
                <w:i/>
                <w:sz w:val="16"/>
              </w:rPr>
              <w:t>H. axyridis</w:t>
            </w:r>
            <w:r>
              <w:rPr>
                <w:rFonts w:ascii="Times New Roman" w:hAnsi="Times New Roman" w:eastAsia="Times New Roman"/>
                <w:b w:val="0"/>
                <w:sz w:val="16"/>
              </w:rPr>
              <w:t xml:space="preserve"> max</w:t>
            </w:r>
          </w:p>
        </w:tc>
        <w:tc>
          <w:tcPr>
            <w:tcW w:type="dxa" w:w="100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42</w:t>
            </w:r>
          </w:p>
        </w:tc>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2.0276</w:t>
            </w:r>
          </w:p>
        </w:tc>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2.2335</w:t>
            </w:r>
          </w:p>
        </w:tc>
        <w:tc>
          <w:tcPr>
            <w:tcW w:type="dxa" w:w="165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1.2803</w:t>
            </w:r>
          </w:p>
        </w:tc>
      </w:tr>
      <w:tr>
        <w:trPr>
          <w:cantSplit/>
          <w:cantSplit/>
        </w:trPr>
        <w:tc>
          <w:tcPr>
            <w:tcW w:type="dxa" w:w="3240"/>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b w:val="0"/>
                <w:i/>
                <w:sz w:val="16"/>
              </w:rPr>
              <w:t>H. axyridis</w:t>
            </w:r>
            <w:r>
              <w:rPr>
                <w:rFonts w:ascii="Times New Roman" w:hAnsi="Times New Roman" w:eastAsia="Times New Roman"/>
                <w:b w:val="0"/>
                <w:sz w:val="16"/>
              </w:rPr>
              <w:t>-positive origins</w:t>
            </w:r>
          </w:p>
        </w:tc>
        <w:tc>
          <w:tcPr>
            <w:tcW w:type="dxa" w:w="100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196</w:t>
            </w:r>
          </w:p>
        </w:tc>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1.3212</w:t>
            </w:r>
          </w:p>
        </w:tc>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1.4422</w:t>
            </w:r>
          </w:p>
        </w:tc>
        <w:tc>
          <w:tcPr>
            <w:tcW w:type="dxa" w:w="165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1.2188</w:t>
            </w:r>
          </w:p>
        </w:tc>
      </w:tr>
      <w:tr>
        <w:trPr>
          <w:cantSplit/>
          <w:cantSplit/>
        </w:trPr>
        <w:tc>
          <w:tcPr>
            <w:tcW w:type="dxa" w:w="3240"/>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JDay-clock pooled sensitivity</w:t>
            </w:r>
          </w:p>
        </w:tc>
        <w:tc>
          <w:tcPr>
            <w:tcW w:type="dxa" w:w="1008"/>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540</w:t>
            </w:r>
          </w:p>
        </w:tc>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1.0541</w:t>
            </w:r>
          </w:p>
        </w:tc>
        <w:tc>
          <w:tcPr>
            <w:tcW w:type="dxa" w:w="1512"/>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1.3238</w:t>
            </w:r>
          </w:p>
        </w:tc>
        <w:tc>
          <w:tcPr>
            <w:tcW w:type="dxa" w:w="1656"/>
            <w:vAlign w:val="center"/>
            <w:tcMar>
              <w:top w:w="40" w:type="dxa"/>
              <w:start w:w="55" w:type="dxa"/>
              <w:bottom w:w="40" w:type="dxa"/>
              <w:end w:w="55" w:type="dxa"/>
            </w:tcMar>
          </w:tcPr>
          <w:p>
            <w:pPr>
              <w:spacing w:line="240" w:lineRule="auto" w:before="0" w:after="0"/>
              <w:ind w:firstLine="0"/>
              <w:jc w:val="left"/>
            </w:pPr>
            <w:r>
              <w:rPr>
                <w:rFonts w:ascii="Times New Roman" w:hAnsi="Times New Roman" w:eastAsia="Times New Roman"/>
                <w:sz w:val="16"/>
              </w:rPr>
              <w:t>1.2407</w:t>
            </w:r>
          </w:p>
        </w:tc>
      </w:tr>
    </w:tbl>
    <w:p>
      <w:pPr>
        <w:keepNext/>
        <w:pageBreakBefore/>
        <w:spacing w:line="240" w:lineRule="auto" w:before="0" w:after="60"/>
        <w:ind w:firstLine="0"/>
        <w:jc w:val="left"/>
      </w:pPr>
      <w:r>
        <w:rPr>
          <w:rFonts w:ascii="Times New Roman" w:hAnsi="Times New Roman" w:eastAsia="Times New Roman"/>
          <w:b/>
          <w:sz w:val="20"/>
        </w:rPr>
        <w:t>References Cited</w:t>
      </w:r>
    </w:p>
    <w:p>
      <w:pPr>
        <w:spacing w:line="240" w:lineRule="auto" w:before="0" w:after="60"/>
        <w:ind w:firstLine="0"/>
        <w:jc w:val="left"/>
      </w:pPr>
      <w:r>
        <w:rPr>
          <w:rFonts w:ascii="Times New Roman" w:hAnsi="Times New Roman" w:eastAsia="Times New Roman"/>
          <w:b w:val="0"/>
          <w:sz w:val="24"/>
        </w:rPr>
        <w:t>[dataset] Yoo, H. J. S. 2018. Three-year survey of arthropods in soybean in north-central Indiana, USA, 2004–2006. KNB Data Repository. https://doi.org/10.5063/F15T3HPK.</w:t>
      </w:r>
    </w:p>
    <w:p>
      <w:pPr>
        <w:spacing w:line="240" w:lineRule="auto" w:before="0" w:after="60"/>
        <w:ind w:firstLine="0"/>
        <w:jc w:val="left"/>
      </w:pPr>
      <w:r>
        <w:rPr>
          <w:rFonts w:ascii="Times New Roman" w:hAnsi="Times New Roman" w:eastAsia="Times New Roman"/>
          <w:b w:val="0"/>
          <w:sz w:val="24"/>
        </w:rPr>
        <w:t xml:space="preserve">Yoo, H. J. S. &amp; R. J. O’Neil. 2009. Temporal relationships between the generalist predator, </w:t>
      </w:r>
      <w:r>
        <w:rPr>
          <w:rFonts w:ascii="Times New Roman" w:hAnsi="Times New Roman" w:eastAsia="Times New Roman"/>
          <w:b w:val="0"/>
          <w:i/>
          <w:sz w:val="24"/>
        </w:rPr>
        <w:t>Orius insidiosus</w:t>
      </w:r>
      <w:r>
        <w:rPr>
          <w:rFonts w:ascii="Times New Roman" w:hAnsi="Times New Roman" w:eastAsia="Times New Roman"/>
          <w:b w:val="0"/>
          <w:sz w:val="24"/>
        </w:rPr>
        <w:t>, and its two major prey in soybean. Biol. Control 48: 168–180. https://doi.org/10.1016/j.biocontrol.2008.10.007.</w:t>
      </w:r>
    </w:p>
    <w:p>
      <w:pPr>
        <w:pageBreakBefore/>
        <w:ind w:firstLine="0"/>
      </w:pPr>
      <w:r>
        <w:rPr>
          <w:rFonts w:ascii="Times New Roman" w:hAnsi="Times New Roman"/>
          <w:b/>
          <w:sz w:val="24"/>
        </w:rPr>
        <w:t>Repository deposition notes</w:t>
      </w:r>
    </w:p>
    <w:p>
      <w:pPr>
        <w:pStyle w:val="ListBullet"/>
        <w:spacing w:line="240" w:lineRule="auto"/>
        <w:ind w:firstLine="0"/>
      </w:pPr>
      <w:r>
        <w:rPr>
          <w:rFonts w:ascii="Times New Roman" w:hAnsi="Times New Roman" w:eastAsia="Times New Roman"/>
          <w:b/>
          <w:i w:val="0"/>
          <w:color w:val="C00000"/>
          <w:sz w:val="20"/>
        </w:rPr>
        <w:t>Replace the repository placeholder with the final public DOI/permanent URL before resubmission: [INSERT PUBLIC REPOSITORY DOI OR PERMANENT URL BEFORE RESUBMISSION].</w:t>
      </w:r>
    </w:p>
    <w:p>
      <w:pPr>
        <w:pStyle w:val="ListBullet"/>
        <w:spacing w:line="240" w:lineRule="auto"/>
        <w:ind w:firstLine="0"/>
      </w:pPr>
      <w:r>
        <w:rPr>
          <w:rFonts w:ascii="Times New Roman" w:hAnsi="Times New Roman" w:eastAsia="Times New Roman"/>
          <w:b w:val="0"/>
          <w:i w:val="0"/>
          <w:sz w:val="20"/>
        </w:rPr>
        <w:t>Deposit this appendix together with the original analysis code, source-file hashes, machine-readable crosswalks, pair ledgers, fixed predictions, and numerical checks. Do not redistribute third-party raw observations.</w:t>
      </w:r>
    </w:p>
    <w:p>
      <w:pPr>
        <w:pStyle w:val="ListBullet"/>
        <w:spacing w:line="240" w:lineRule="auto"/>
        <w:ind w:firstLine="0"/>
      </w:pPr>
      <w:r>
        <w:rPr>
          <w:rFonts w:ascii="Times New Roman" w:hAnsi="Times New Roman" w:eastAsia="Times New Roman"/>
          <w:b w:val="0"/>
          <w:i w:val="0"/>
          <w:sz w:val="20"/>
        </w:rPr>
        <w:t>The dataset-selection register is a separate CSV in the same R105 repository package. The search was targeted and non-systematic; it documents the bounded data choice but is not a systematic-review claim.</w:t>
      </w:r>
    </w:p>
    <w:p>
      <w:pPr>
        <w:pStyle w:val="ListBullet"/>
        <w:spacing w:line="240" w:lineRule="auto"/>
        <w:ind w:firstLine="0"/>
      </w:pPr>
      <w:r>
        <w:rPr>
          <w:rFonts w:ascii="Times New Roman" w:hAnsi="Times New Roman" w:eastAsia="Times New Roman"/>
          <w:b w:val="0"/>
          <w:i w:val="0"/>
          <w:sz w:val="20"/>
        </w:rPr>
        <w:t>Dataset sources accessed 30 September 2026: Wisconsin, https://doi.org/10.5061/dryad.2547d7wwt; Indiana, https://doi.org/10.5063/F15T3HPK; wheat, https://doi.org/10.5061/dryad.2fqz612x5.</w:t>
      </w:r>
    </w:p>
    <w:sectPr>
      <w:headerReference w:type="default" r:id="rId9"/>
      <w:footerReference w:type="default" r:id="rId10"/>
      <w:pgSz w:w="12240" w:h="15840"/>
      <w:pgMar w:top="1080" w:right="1080" w:bottom="1080" w:left="108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r/>
    <w:r>
      <w:rPr>
        <w:rFonts w:ascii="Times New Roman" w:hAnsi="Times New Roman"/>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left"/>
    </w:pPr>
    <w:r/>
    <w:r>
      <w:rPr>
        <w:rFonts w:ascii="Times New Roman" w:hAnsi="Times New Roman" w:eastAsia="Times New Roman"/>
        <w:sz w:val="16"/>
      </w:rPr>
      <w:t>JAUE26-10 | Repository Technical Appendix R105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ind w:firstLine="648"/>
      <w:jc w:val="both"/>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eastAsia="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heme="majorHAnsi" w:eastAsiaTheme="majorEastAsia" w:hAnsiTheme="majorHAnsi" w:cstheme="majorBidi" w:ascii="Times New Roman" w:hAnsi="Times New Roman" w:eastAsia="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pPr>
    <w:rPr>
      <w:rFonts w:asciiTheme="majorHAnsi" w:eastAsiaTheme="majorEastAsia" w:hAnsiTheme="majorHAnsi" w:cstheme="majorBidi" w:ascii="Times New Roman" w:hAnsi="Times New Roman" w:eastAsia="Times New Roman"/>
      <w:b/>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AUEMajorHeading">
    <w:name w:val="JAUE Major Heading"/>
    <w:pPr>
      <w:keepNext/>
      <w:spacing w:before="240" w:after="120" w:line="240" w:lineRule="auto"/>
      <w:ind w:firstLine="0"/>
      <w:jc w:val="center"/>
    </w:pPr>
    <w:rPr>
      <w:rFonts w:ascii="Times New Roman" w:hAnsi="Times New Roman" w:eastAsia="Times New Roman"/>
      <w:b/>
      <w:sz w:val="24"/>
    </w:rPr>
  </w:style>
  <w:style w:type="paragraph" w:customStyle="1" w:styleId="JAUETableText">
    <w:name w:val="JAUE Table Text"/>
    <w:pPr>
      <w:spacing w:line="240" w:lineRule="auto" w:after="0" w:before="0"/>
      <w:ind w:firstLine="0"/>
    </w:pPr>
    <w:rPr>
      <w:rFonts w:ascii="Times New Roman" w:hAnsi="Times New Roman" w:eastAsia="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JAUE26-10 Repository Technical Appendix R105</dc:title>
  <dc:subject>JAUE manuscript revision</dc:subject>
  <dc:creator>Xin Li; Bojian Guo; Asel Kartanova</dc:creator>
  <cp:keywords/>
  <dc:description>Revised manuscript package prepared for author verification.</dc:description>
  <cp:lastModifiedBy>Xin Li; Bojian Guo; Asel Kartanova</cp:lastModifiedBy>
  <cp:revision>1</cp:revision>
  <dcterms:created xsi:type="dcterms:W3CDTF">2013-12-23T23:15:00Z</dcterms:created>
  <dcterms:modified xsi:type="dcterms:W3CDTF">2013-12-23T23:15:00Z</dcterms:modified>
  <cp:category/>
</cp:coreProperties>
</file>