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4.jpg" ContentType="image/jpeg"/>
  <Override PartName="/word/media/rId17.jpg" ContentType="image/jpeg"/>
  <Override PartName="/word/media/rId42.jpg" ContentType="image/jpeg"/>
  <Override PartName="/word/media/rId39.jpg" ContentType="image/jpeg"/>
  <Override PartName="/word/media/rId35.jpg" ContentType="image/jpeg"/>
  <Override PartName="/word/media/rId28.jpg" ContentType="image/jpeg"/>
  <Override PartName="/word/media/rId31.jpg" ContentType="image/jpeg"/>
  <Override PartName="/word/media/rId13.jpg" ContentType="image/jpe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数学运算游戏操作手册"/>
    <w:p>
      <w:pPr>
        <w:pStyle w:val="Heading1"/>
      </w:pPr>
      <w:r>
        <w:rPr>
          <w:rFonts w:hint="eastAsia"/>
          <w:color w:val="000000"/>
        </w:rPr>
        <w:t xml:space="preserve">数学运算游戏操作手册</w:t>
      </w:r>
    </w:p>
    <w:bookmarkStart w:id="9" w:name="一相关文档"/>
    <w:p>
      <w:pPr>
        <w:pStyle w:val="Heading2"/>
      </w:pPr>
      <w:r>
        <w:rPr>
          <w:rFonts w:hint="eastAsia"/>
          <w:color w:val="000000"/>
        </w:rPr>
        <w:t xml:space="preserve">一、相关文档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color w:val="000000"/>
              </w:rPr>
              <w:t xml:space="preserve">文档名称</w:t>
            </w:r>
          </w:p>
        </w:tc>
        <w:tc>
          <w:tcPr/>
          <w:p>
            <w:pPr>
              <w:pStyle w:val="Compact"/>
            </w:pPr>
            <w:r>
              <w:rPr>
                <w:rFonts w:hint="eastAsia"/>
                <w:color w:val="000000"/>
              </w:rPr>
              <w:t xml:space="preserve">指向资料</w:t>
            </w:r>
          </w:p>
        </w:tc>
        <w:tc>
          <w:tcPr/>
          <w:p>
            <w:pPr>
              <w:pStyle w:val="Compact"/>
            </w:pPr>
            <w:r>
              <w:rPr>
                <w:rFonts w:hint="eastAsia"/>
                <w:color w:val="000000"/>
              </w:rPr>
              <w:t xml:space="preserve">说明</w:t>
            </w:r>
          </w:p>
        </w:tc>
      </w:tr>
      <w:tr>
        <w:tc>
          <w:tcPr/>
          <w:p>
            <w:pPr>
              <w:pStyle w:val="Compact"/>
            </w:pPr>
            <w:r>
              <w:rPr>
                <w:rFonts w:hint="eastAsia"/>
                <w:color w:val="000000"/>
              </w:rPr>
              <w:t xml:space="preserve">总体设计</w:t>
            </w:r>
          </w:p>
        </w:tc>
        <w:tc>
          <w:tcPr/>
          <w:p>
            <w:pPr>
              <w:pStyle w:val="Compact"/>
            </w:pPr>
            <w:r>
              <w:rPr>
                <w:rFonts w:hint="eastAsia"/>
                <w:color w:val="000000"/>
              </w:rPr>
              <w:t xml:space="preserve">《总体设计》</w:t>
            </w:r>
          </w:p>
        </w:tc>
        <w:tc>
          <w:tcPr/>
          <w:p>
            <w:pPr>
              <w:pStyle w:val="Compact"/>
            </w:pPr>
            <w:r>
              <w:rPr>
                <w:rFonts w:hint="eastAsia"/>
                <w:color w:val="000000"/>
              </w:rPr>
              <w:t xml:space="preserve">说明软件整体功能、页面组成、运行环境和业务边界。</w:t>
            </w:r>
          </w:p>
        </w:tc>
      </w:tr>
      <w:tr>
        <w:tc>
          <w:tcPr/>
          <w:p>
            <w:pPr>
              <w:pStyle w:val="Compact"/>
            </w:pPr>
            <w:r>
              <w:rPr>
                <w:rFonts w:hint="eastAsia"/>
                <w:color w:val="000000"/>
              </w:rPr>
              <w:t xml:space="preserve">详细设计</w:t>
            </w:r>
          </w:p>
        </w:tc>
        <w:tc>
          <w:tcPr/>
          <w:p>
            <w:pPr>
              <w:pStyle w:val="Compact"/>
            </w:pPr>
            <w:r>
              <w:rPr>
                <w:rFonts w:hint="eastAsia"/>
                <w:color w:val="000000"/>
              </w:rPr>
              <w:t xml:space="preserve">《详细设计》</w:t>
            </w:r>
          </w:p>
        </w:tc>
        <w:tc>
          <w:tcPr/>
          <w:p>
            <w:pPr>
              <w:pStyle w:val="Compact"/>
            </w:pPr>
            <w:r>
              <w:rPr>
                <w:rFonts w:hint="eastAsia"/>
                <w:color w:val="000000"/>
              </w:rPr>
              <w:t xml:space="preserve">说明各功能页面、输入输出、状态变化和处理规则。</w:t>
            </w:r>
          </w:p>
        </w:tc>
      </w:tr>
      <w:tr>
        <w:tc>
          <w:tcPr/>
          <w:p>
            <w:pPr>
              <w:pStyle w:val="Compact"/>
            </w:pPr>
            <w:r>
              <w:rPr>
                <w:rFonts w:hint="eastAsia"/>
                <w:color w:val="000000"/>
              </w:rPr>
              <w:t xml:space="preserve">测试案例</w:t>
            </w:r>
          </w:p>
        </w:tc>
        <w:tc>
          <w:tcPr/>
          <w:p>
            <w:pPr>
              <w:pStyle w:val="Compact"/>
            </w:pPr>
            <w:r>
              <w:rPr>
                <w:rFonts w:hint="eastAsia"/>
                <w:color w:val="000000"/>
              </w:rPr>
              <w:t xml:space="preserve">《测试案例》</w:t>
            </w:r>
          </w:p>
        </w:tc>
        <w:tc>
          <w:tcPr/>
          <w:p>
            <w:pPr>
              <w:pStyle w:val="Compact"/>
            </w:pPr>
            <w:r>
              <w:rPr>
                <w:rFonts w:hint="eastAsia"/>
                <w:color w:val="000000"/>
              </w:rPr>
              <w:t xml:space="preserve">记录主要功能的操作场景、预期结果和异常提示。</w:t>
            </w:r>
          </w:p>
        </w:tc>
      </w:tr>
    </w:tbl>
    <w:bookmarkEnd w:id="9"/>
    <w:bookmarkStart w:id="10" w:name="二说明"/>
    <w:p>
      <w:pPr>
        <w:pStyle w:val="Heading2"/>
      </w:pPr>
      <w:r>
        <w:rPr>
          <w:rFonts w:hint="eastAsia"/>
          <w:color w:val="000000"/>
        </w:rPr>
        <w:t xml:space="preserve">二、说明</w:t>
      </w:r>
    </w:p>
    <w:p>
      <w:pPr>
        <w:pStyle w:val="FirstParagraph"/>
      </w:pPr>
      <w:r>
        <w:rPr>
          <w:rFonts w:hint="eastAsia"/>
          <w:color w:val="000000"/>
        </w:rPr>
        <w:t xml:space="preserve">数学运算游戏</w:t>
      </w:r>
      <w:r>
        <w:rPr>
          <w:color w:val="000000"/>
        </w:rPr>
        <w:t xml:space="preserve"> V1.0.0 </w:t>
      </w:r>
      <w:r>
        <w:rPr>
          <w:rFonts w:hint="eastAsia"/>
          <w:color w:val="000000"/>
        </w:rPr>
        <w:t xml:space="preserve">是一款面向学龄前儿童和小学低年级学生的数学启蒙训练软件，主要用于帮助用户在移动端环境下完成循序渐进的加减法练习和数量感训练。软件把练习过程划分为主线闯关和数字探索两条主要使用路径，既适合家庭日常练习，也适合课堂后的巩固训练。</w:t>
      </w:r>
    </w:p>
    <w:p>
      <w:pPr>
        <w:pStyle w:val="BodyText"/>
      </w:pPr>
      <w:r>
        <w:rPr>
          <w:rFonts w:hint="eastAsia"/>
          <w:color w:val="000000"/>
        </w:rPr>
        <w:t xml:space="preserve">用户打开软件后，可以先从首页进入关卡训练，也可以直接进入数字探索。进入主线训练后，用户先在选关页查看已解锁关卡和当前进度，再进入具体关卡逐题作答，系统在答题过程中给出即时反馈，并在整关结束后展示正确率、用时和错题情况。选择数字探索时，用户可以输入</w:t>
      </w:r>
      <w:r>
        <w:rPr>
          <w:color w:val="000000"/>
        </w:rPr>
        <w:t xml:space="preserve"> 1 </w:t>
      </w:r>
      <w:r>
        <w:rPr>
          <w:rFonts w:hint="eastAsia"/>
          <w:color w:val="000000"/>
        </w:rPr>
        <w:t xml:space="preserve">到</w:t>
      </w:r>
      <w:r>
        <w:rPr>
          <w:color w:val="000000"/>
        </w:rPr>
        <w:t xml:space="preserve"> 1000 </w:t>
      </w:r>
      <w:r>
        <w:rPr>
          <w:rFonts w:hint="eastAsia"/>
          <w:color w:val="000000"/>
        </w:rPr>
        <w:t xml:space="preserve">的数字查看对应球阵，也可以切换到挑战模式进行区间猜数训练。</w:t>
      </w:r>
    </w:p>
    <w:p>
      <w:pPr>
        <w:pStyle w:val="BodyText"/>
      </w:pPr>
      <w:r>
        <w:rPr>
          <w:rFonts w:hint="eastAsia"/>
          <w:color w:val="000000"/>
        </w:rPr>
        <w:t xml:space="preserve">软件的核心价值在于把抽象的运算题、找缺口题和数量关系练习转换为适合儿童理解的页面交互过程。用户不需要依赖复杂设置，只需按照页面提示点击、输入和确认，即可完成练习、查看结果并继续下一轮训练。本手册按照用户实际看到的页面顺序，对软件用途、运行要求和操作流程进行说明。</w:t>
      </w:r>
    </w:p>
    <w:bookmarkEnd w:id="10"/>
    <w:bookmarkStart w:id="11" w:name="三功能特点"/>
    <w:p>
      <w:pPr>
        <w:pStyle w:val="Heading2"/>
      </w:pPr>
      <w:r>
        <w:rPr>
          <w:rFonts w:hint="eastAsia"/>
          <w:color w:val="000000"/>
        </w:rPr>
        <w:t xml:space="preserve">三、功能特点</w:t>
      </w:r>
    </w:p>
    <w:p>
      <w:pPr>
        <w:pStyle w:val="FirstParagraph"/>
      </w:pPr>
      <w:r>
        <w:rPr>
          <w:rFonts w:hint="eastAsia"/>
          <w:color w:val="000000"/>
        </w:rPr>
        <w:t xml:space="preserve">软件采用</w:t>
      </w:r>
      <w:r>
        <w:rPr>
          <w:color w:val="000000"/>
        </w:rPr>
        <w:t xml:space="preserve"> 26 </w:t>
      </w:r>
      <w:r>
        <w:rPr>
          <w:rFonts w:hint="eastAsia"/>
          <w:color w:val="000000"/>
        </w:rPr>
        <w:t xml:space="preserve">个主线关卡组成渐进式训练路径，练习内容从</w:t>
      </w:r>
      <w:r>
        <w:rPr>
          <w:color w:val="000000"/>
        </w:rPr>
        <w:t xml:space="preserve"> 0-3 </w:t>
      </w:r>
      <w:r>
        <w:rPr>
          <w:rFonts w:hint="eastAsia"/>
          <w:color w:val="000000"/>
        </w:rPr>
        <w:t xml:space="preserve">加减法逐步扩展到</w:t>
      </w:r>
      <w:r>
        <w:rPr>
          <w:color w:val="000000"/>
        </w:rPr>
        <w:t xml:space="preserve"> 20 </w:t>
      </w:r>
      <w:r>
        <w:rPr>
          <w:rFonts w:hint="eastAsia"/>
          <w:color w:val="000000"/>
        </w:rPr>
        <w:t xml:space="preserve">以内综合训练。每一关都对应明确的题量、范围和教学重点，用户必须按顺序通过上一关后才能解锁下一关，适合按阶段持续练习。</w:t>
      </w:r>
    </w:p>
    <w:p>
      <w:pPr>
        <w:pStyle w:val="BodyText"/>
      </w:pPr>
      <w:r>
        <w:rPr>
          <w:rFonts w:hint="eastAsia"/>
          <w:color w:val="000000"/>
        </w:rPr>
        <w:t xml:space="preserve">练习页面使用数字键盘完成作答，系统在提交答案后即时给出反馈。答对时自动进入下一题，答错时会停留在当前反馈状态，先展示正确答案，再等待用户确认后继续。这种处理方式既保持练习节奏，也能让用户在错误发生时及时看到正确结果。</w:t>
      </w:r>
    </w:p>
    <w:p>
      <w:pPr>
        <w:pStyle w:val="BodyText"/>
      </w:pPr>
      <w:r>
        <w:rPr>
          <w:rFonts w:hint="eastAsia"/>
          <w:color w:val="000000"/>
        </w:rPr>
        <w:t xml:space="preserve">软件支持错题复练和本地成绩追踪。用户完成一关后，可以查看本轮错题列表，并只针对错误题目重新开始新一轮练习。软件还会保存每关最佳成绩、计时榜和累计答题统计，但错题重练不会覆盖正式闯关成绩，能够同时兼顾训练和记录两类需求。</w:t>
      </w:r>
    </w:p>
    <w:p>
      <w:pPr>
        <w:pStyle w:val="BodyText"/>
      </w:pPr>
      <w:r>
        <w:rPr>
          <w:rFonts w:hint="eastAsia"/>
          <w:color w:val="000000"/>
        </w:rPr>
        <w:t xml:space="preserve">除主线闯关外，软件还提供数字探索功能。用户可以在自由探索模式中输入</w:t>
      </w:r>
      <w:r>
        <w:rPr>
          <w:color w:val="000000"/>
        </w:rPr>
        <w:t xml:space="preserve"> 1 </w:t>
      </w:r>
      <w:r>
        <w:rPr>
          <w:rFonts w:hint="eastAsia"/>
          <w:color w:val="000000"/>
        </w:rPr>
        <w:t xml:space="preserve">到</w:t>
      </w:r>
      <w:r>
        <w:rPr>
          <w:color w:val="000000"/>
        </w:rPr>
        <w:t xml:space="preserve"> 1000 </w:t>
      </w:r>
      <w:r>
        <w:rPr>
          <w:rFonts w:hint="eastAsia"/>
          <w:color w:val="000000"/>
        </w:rPr>
        <w:t xml:space="preserve">的数字查看十进制球阵，也可以在挑战模式中根据不同数量区间进行猜数训练。该功能适合帮助儿童理解百、十、个的数量构成，并通过可视化方式建立数量感。</w:t>
      </w:r>
    </w:p>
    <w:p>
      <w:pPr>
        <w:pStyle w:val="BodyText"/>
      </w:pPr>
      <w:r>
        <w:rPr>
          <w:rFonts w:hint="eastAsia"/>
          <w:color w:val="000000"/>
        </w:rPr>
        <w:t xml:space="preserve">软件支持移动端触控使用和本地离线记录。页面按钮尺寸适合手机竖屏点击，进度、成绩和小球辅助偏好会保存在本机浏览器中，用户再次进入软件时可以继续查看原有数据。结合</w:t>
      </w:r>
      <w:r>
        <w:rPr>
          <w:color w:val="000000"/>
        </w:rPr>
        <w:t xml:space="preserve"> PWA </w:t>
      </w:r>
      <w:r>
        <w:rPr>
          <w:rFonts w:hint="eastAsia"/>
          <w:color w:val="000000"/>
        </w:rPr>
        <w:t xml:space="preserve">能力，软件还可以提供安装、缓存和更新提示，方便在稳定场景下长期使用。</w:t>
      </w:r>
    </w:p>
    <w:bookmarkEnd w:id="11"/>
    <w:bookmarkStart w:id="12" w:name="四系统要求"/>
    <w:p>
      <w:pPr>
        <w:pStyle w:val="Heading2"/>
      </w:pPr>
      <w:r>
        <w:rPr>
          <w:rFonts w:hint="eastAsia"/>
          <w:color w:val="000000"/>
        </w:rPr>
        <w:t xml:space="preserve">四、系统要求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color w:val="000000"/>
              </w:rPr>
              <w:t xml:space="preserve">系统要求</w:t>
            </w:r>
          </w:p>
        </w:tc>
        <w:tc>
          <w:tcPr/>
          <w:p>
            <w:pPr>
              <w:pStyle w:val="Compact"/>
            </w:pPr>
            <w:r>
              <w:rPr>
                <w:rFonts w:hint="eastAsia"/>
                <w:color w:val="000000"/>
              </w:rPr>
              <w:t xml:space="preserve">最低配置</w:t>
            </w:r>
          </w:p>
        </w:tc>
        <w:tc>
          <w:tcPr/>
          <w:p>
            <w:pPr>
              <w:pStyle w:val="Compact"/>
            </w:pPr>
            <w:r>
              <w:rPr>
                <w:rFonts w:hint="eastAsia"/>
                <w:color w:val="000000"/>
              </w:rPr>
              <w:t xml:space="preserve">推荐配置</w:t>
            </w:r>
          </w:p>
        </w:tc>
      </w:tr>
      <w:tr>
        <w:tc>
          <w:tcPr/>
          <w:p>
            <w:pPr>
              <w:pStyle w:val="Compact"/>
            </w:pPr>
            <w:r>
              <w:rPr>
                <w:rFonts w:hint="eastAsia"/>
                <w:color w:val="000000"/>
              </w:rPr>
              <w:t xml:space="preserve">操作系统</w:t>
            </w:r>
          </w:p>
        </w:tc>
        <w:tc>
          <w:tcPr/>
          <w:p>
            <w:pPr>
              <w:pStyle w:val="Compact"/>
            </w:pPr>
            <w:r>
              <w:rPr>
                <w:color w:val="000000"/>
              </w:rPr>
              <w:t xml:space="preserve">Android 10、iOS 15 </w:t>
            </w:r>
            <w:r>
              <w:rPr>
                <w:rFonts w:hint="eastAsia"/>
                <w:color w:val="000000"/>
              </w:rPr>
              <w:t xml:space="preserve">或</w:t>
            </w:r>
            <w:r>
              <w:rPr>
                <w:color w:val="000000"/>
              </w:rPr>
              <w:t xml:space="preserve"> Windows 10</w:t>
            </w:r>
          </w:p>
        </w:tc>
        <w:tc>
          <w:tcPr/>
          <w:p>
            <w:pPr>
              <w:pStyle w:val="Compact"/>
            </w:pPr>
            <w:r>
              <w:rPr>
                <w:color w:val="000000"/>
              </w:rPr>
              <w:t xml:space="preserve">Android 13、iOS 17 </w:t>
            </w:r>
            <w:r>
              <w:rPr>
                <w:rFonts w:hint="eastAsia"/>
                <w:color w:val="000000"/>
              </w:rPr>
              <w:t xml:space="preserve">或</w:t>
            </w:r>
            <w:r>
              <w:rPr>
                <w:color w:val="000000"/>
              </w:rPr>
              <w:t xml:space="preserve"> macOS 14</w:t>
            </w:r>
          </w:p>
        </w:tc>
      </w:tr>
      <w:tr>
        <w:tc>
          <w:tcPr/>
          <w:p>
            <w:pPr>
              <w:pStyle w:val="Compact"/>
            </w:pPr>
            <w:r>
              <w:rPr>
                <w:rFonts w:hint="eastAsia"/>
                <w:color w:val="000000"/>
              </w:rPr>
              <w:t xml:space="preserve">浏览器或客户端</w:t>
            </w:r>
          </w:p>
        </w:tc>
        <w:tc>
          <w:tcPr/>
          <w:p>
            <w:pPr>
              <w:pStyle w:val="Compact"/>
            </w:pPr>
            <w:r>
              <w:rPr>
                <w:color w:val="000000"/>
              </w:rPr>
              <w:t xml:space="preserve">Chrome 120、Safari 15 </w:t>
            </w:r>
            <w:r>
              <w:rPr>
                <w:rFonts w:hint="eastAsia"/>
                <w:color w:val="000000"/>
              </w:rPr>
              <w:t xml:space="preserve">或</w:t>
            </w:r>
            <w:r>
              <w:rPr>
                <w:color w:val="000000"/>
              </w:rPr>
              <w:t xml:space="preserve"> Edge 120</w:t>
            </w:r>
          </w:p>
        </w:tc>
        <w:tc>
          <w:tcPr/>
          <w:p>
            <w:pPr>
              <w:pStyle w:val="Compact"/>
            </w:pPr>
            <w:r>
              <w:rPr>
                <w:rFonts w:hint="eastAsia"/>
                <w:color w:val="000000"/>
              </w:rPr>
              <w:t xml:space="preserve">最新版</w:t>
            </w:r>
            <w:r>
              <w:rPr>
                <w:color w:val="000000"/>
              </w:rPr>
              <w:t xml:space="preserve"> Chrome、Safari </w:t>
            </w:r>
            <w:r>
              <w:rPr>
                <w:rFonts w:hint="eastAsia"/>
                <w:color w:val="000000"/>
              </w:rPr>
              <w:t xml:space="preserve">或已安装的</w:t>
            </w:r>
            <w:r>
              <w:rPr>
                <w:color w:val="000000"/>
              </w:rPr>
              <w:t xml:space="preserve"> PWA </w:t>
            </w:r>
            <w:r>
              <w:rPr>
                <w:rFonts w:hint="eastAsia"/>
                <w:color w:val="000000"/>
              </w:rPr>
              <w:t xml:space="preserve">应用</w:t>
            </w:r>
          </w:p>
        </w:tc>
      </w:tr>
      <w:tr>
        <w:tc>
          <w:tcPr/>
          <w:p>
            <w:pPr>
              <w:pStyle w:val="Compact"/>
            </w:pPr>
            <w:r>
              <w:rPr>
                <w:rFonts w:hint="eastAsia"/>
                <w:color w:val="000000"/>
              </w:rPr>
              <w:t xml:space="preserve">网络环境</w:t>
            </w:r>
          </w:p>
        </w:tc>
        <w:tc>
          <w:tcPr/>
          <w:p>
            <w:pPr>
              <w:pStyle w:val="Compact"/>
            </w:pPr>
            <w:r>
              <w:rPr>
                <w:rFonts w:hint="eastAsia"/>
                <w:color w:val="000000"/>
              </w:rPr>
              <w:t xml:space="preserve">首次加载需要可访问界面资源的网络环境</w:t>
            </w:r>
          </w:p>
        </w:tc>
        <w:tc>
          <w:tcPr/>
          <w:p>
            <w:pPr>
              <w:pStyle w:val="Compact"/>
            </w:pPr>
            <w:r>
              <w:rPr>
                <w:rFonts w:hint="eastAsia"/>
                <w:color w:val="000000"/>
              </w:rPr>
              <w:t xml:space="preserve">联网首次访问后可结合</w:t>
            </w:r>
            <w:r>
              <w:rPr>
                <w:color w:val="000000"/>
              </w:rPr>
              <w:t xml:space="preserve"> PWA </w:t>
            </w:r>
            <w:r>
              <w:rPr>
                <w:rFonts w:hint="eastAsia"/>
                <w:color w:val="000000"/>
              </w:rPr>
              <w:t xml:space="preserve">缓存提升后续使用稳定性</w:t>
            </w:r>
          </w:p>
        </w:tc>
      </w:tr>
    </w:tbl>
    <w:p>
      <w:pPr>
        <w:pStyle w:val="BodyText"/>
      </w:pPr>
      <w:r>
        <w:rPr>
          <w:rFonts w:hint="eastAsia"/>
          <w:color w:val="000000"/>
        </w:rPr>
        <w:t xml:space="preserve">请确保实际运行环境满足以上要求，以保证数学运算游戏能够正常打开页面、提交操作和展示处理结果。若部署方式、客户端形态或服务器环境与本表不同，应以实际确认的申请表环境字段为准。</w:t>
      </w:r>
    </w:p>
    <w:bookmarkEnd w:id="12"/>
    <w:bookmarkStart w:id="16" w:name="五首页入口"/>
    <w:p>
      <w:pPr>
        <w:pStyle w:val="Heading2"/>
      </w:pPr>
      <w:r>
        <w:rPr>
          <w:rFonts w:hint="eastAsia"/>
          <w:color w:val="000000"/>
        </w:rPr>
        <w:t xml:space="preserve">五、首页入口</w:t>
      </w:r>
    </w:p>
    <w:p>
      <w:pPr>
        <w:pStyle w:val="FirstParagraph"/>
      </w:pPr>
      <w:r>
        <w:rPr>
          <w:rFonts w:hint="eastAsia"/>
          <w:color w:val="000000"/>
        </w:rPr>
        <w:t xml:space="preserve">首页是软件的默认进入页面，主要用于展示训练入口、数字探索入口以及当前学习概况。用户打开软件后会先看到标题、引导语和两个主按钮，并可从这里决定下一步是开始闯关还是进入数量探索。</w:t>
      </w:r>
    </w:p>
    <w:p>
      <w:pPr>
        <w:pStyle w:val="BodyText"/>
      </w:pPr>
      <w:r>
        <w:rPr>
          <w:rFonts w:hint="eastAsia"/>
          <w:color w:val="000000"/>
        </w:rPr>
        <w:t xml:space="preserve">如果当前设备中已经存在历史练习记录，首页会显示已通关数量和累计答对题数；如果是第一次使用，则会显示开始第一关的提示语，帮助用户快速进入练习状态。</w:t>
      </w:r>
    </w:p>
    <w:p>
      <w:pPr>
        <w:pStyle w:val="BodyText"/>
      </w:pPr>
      <w:r>
        <w:rPr>
          <w:rFonts w:hint="eastAsia"/>
          <w:color w:val="000000"/>
        </w:rPr>
        <w:t xml:space="preserve">用户点击“开始挑战”后会进入关卡选择页面，点击“数字探索”后会进入数字探索页面。两个按钮都采用直接跳转方式，适合儿童在较少阅读说明的情况下快速进入对应功能。</w:t>
      </w:r>
    </w:p>
    <w:p>
      <w:pPr>
        <w:pStyle w:val="BodyText"/>
      </w:pPr>
      <w:r>
        <w:rPr>
          <w:rFonts w:hint="eastAsia"/>
          <w:color w:val="000000"/>
        </w:rPr>
        <w:t xml:space="preserve">正常使用时，用户先查看首页显示的学习数据和入口按钮，再点击目标按钮进入下一页。页面对短时间内的重复点击做了处理，避免重复跳转。进入下一页后，首页本身不会再弹出额外确认框，整体操作过程比较直接。</w:t>
      </w:r>
    </w:p>
    <w:p>
      <w:pPr>
        <w:pStyle w:val="CaptionedFigure"/>
      </w:pPr>
      <w:r>
        <w:rPr>
          <w:color w:val="000000"/>
        </w:rPr>
        <w:drawing>
          <wp:inline>
            <wp:extent cx="5334000" cy="11538942"/>
            <wp:effectExtent b="0" l="0" r="0" t="0"/>
            <wp:docPr descr="首页主界面" title="" id="14" name="Picture"/>
            <a:graphic>
              <a:graphicData uri="http://schemas.openxmlformats.org/drawingml/2006/picture">
                <pic:pic>
                  <pic:nvPicPr>
                    <pic:cNvPr descr="/Users/hezf/github/math-game/软件著作权申请资料/截图/首页.jpg" id="15" name="Picture"/>
                    <pic:cNvPicPr>
                      <a:picLocks noChangeArrowheads="1" noChangeAspect="1"/>
                    </pic:cNvPicPr>
                  </pic:nvPicPr>
                  <pic:blipFill>
                    <a:blip r:embed="rId13"/>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首页主界面</w:t>
      </w:r>
    </w:p>
    <w:bookmarkEnd w:id="16"/>
    <w:bookmarkStart w:id="20" w:name="六关卡选择页面"/>
    <w:p>
      <w:pPr>
        <w:pStyle w:val="Heading2"/>
      </w:pPr>
      <w:r>
        <w:rPr>
          <w:rFonts w:hint="eastAsia"/>
          <w:color w:val="000000"/>
        </w:rPr>
        <w:t xml:space="preserve">六、关卡选择页面</w:t>
      </w:r>
    </w:p>
    <w:p>
      <w:pPr>
        <w:pStyle w:val="FirstParagraph"/>
      </w:pPr>
      <w:r>
        <w:rPr>
          <w:rFonts w:hint="eastAsia"/>
          <w:color w:val="000000"/>
        </w:rPr>
        <w:t xml:space="preserve">关卡选择页面用于展示全部主线关卡、当前已解锁进度和每关成绩信息。用户从首页点击“开始挑战”后进入该页，可以按阶段查看不同关卡的训练重点和当前完成情况。</w:t>
      </w:r>
    </w:p>
    <w:p>
      <w:pPr>
        <w:pStyle w:val="BodyText"/>
      </w:pPr>
      <w:r>
        <w:rPr>
          <w:rFonts w:hint="eastAsia"/>
          <w:color w:val="000000"/>
        </w:rPr>
        <w:t xml:space="preserve">页面顶部会显示已通关数量、整体进度条和返回首页按钮。向下浏览时，用户会看到按阶段分组排列的关卡卡片，每张卡片会显示关卡名称、锁定状态、完成状态以及相关成绩信息。</w:t>
      </w:r>
    </w:p>
    <w:p>
      <w:pPr>
        <w:pStyle w:val="BodyText"/>
      </w:pPr>
      <w:r>
        <w:rPr>
          <w:rFonts w:hint="eastAsia"/>
          <w:color w:val="000000"/>
        </w:rPr>
        <w:t xml:space="preserve">如果某一关尚未解锁，用户只能查看关卡信息，不能直接进入作答页面；如果上一关已经通过，对应下一关会自动开放。对于已完成的关卡，用户还可以看到本地保存的最佳成绩和与当前题量一致的计时榜结果。</w:t>
      </w:r>
    </w:p>
    <w:p>
      <w:pPr>
        <w:pStyle w:val="BodyText"/>
      </w:pPr>
      <w:r>
        <w:rPr>
          <w:rFonts w:hint="eastAsia"/>
          <w:color w:val="000000"/>
        </w:rPr>
        <w:t xml:space="preserve">正常操作时，用户先查看页面顶部进度，再浏览目标阶段的关卡卡片，点击已解锁关卡即可进入练习。若用户中途返回首页，再次进入该页时，页面会尽量恢复之前的浏览位置，便于继续查看后面的关卡。</w:t>
      </w:r>
    </w:p>
    <w:p>
      <w:pPr>
        <w:pStyle w:val="CaptionedFigure"/>
      </w:pPr>
      <w:r>
        <w:rPr>
          <w:color w:val="000000"/>
        </w:rPr>
        <w:drawing>
          <wp:inline>
            <wp:extent cx="5334000" cy="11538942"/>
            <wp:effectExtent b="0" l="0" r="0" t="0"/>
            <wp:docPr descr="关卡选择页面" title="" id="18" name="Picture"/>
            <a:graphic>
              <a:graphicData uri="http://schemas.openxmlformats.org/drawingml/2006/picture">
                <pic:pic>
                  <pic:nvPicPr>
                    <pic:cNvPr descr="/Users/hezf/github/math-game/软件著作权申请资料/截图/关卡选择页.jpg" id="19" name="Picture"/>
                    <pic:cNvPicPr>
                      <a:picLocks noChangeArrowheads="1" noChangeAspect="1"/>
                    </pic:cNvPicPr>
                  </pic:nvPicPr>
                  <pic:blipFill>
                    <a:blip r:embed="rId17"/>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关卡选择页面</w:t>
      </w:r>
    </w:p>
    <w:bookmarkEnd w:id="20"/>
    <w:bookmarkStart w:id="27" w:name="七关卡练习与作答"/>
    <w:p>
      <w:pPr>
        <w:pStyle w:val="Heading2"/>
      </w:pPr>
      <w:r>
        <w:rPr>
          <w:rFonts w:hint="eastAsia"/>
          <w:color w:val="000000"/>
        </w:rPr>
        <w:t xml:space="preserve">七、关卡练习与作答</w:t>
      </w:r>
    </w:p>
    <w:p>
      <w:pPr>
        <w:pStyle w:val="FirstParagraph"/>
      </w:pPr>
      <w:r>
        <w:rPr>
          <w:rFonts w:hint="eastAsia"/>
          <w:color w:val="000000"/>
        </w:rPr>
        <w:t xml:space="preserve">关卡练习与作答页面是软件的核心页面，负责展示题目、接收答案、给出反馈并推进整关进度。用户在关卡选择页点击某一已解锁关卡后，即可进入该页面开始练习。</w:t>
      </w:r>
    </w:p>
    <w:p>
      <w:pPr>
        <w:pStyle w:val="BodyText"/>
      </w:pPr>
      <w:r>
        <w:rPr>
          <w:rFonts w:hint="eastAsia"/>
          <w:color w:val="000000"/>
        </w:rPr>
        <w:t xml:space="preserve">页面中会显示当前题目、题号、答案输入区、数字键盘以及必要时可开启的小球辅助。用户根据题面输入答案后点击确认，系统会立刻判断正误，并以不同方式处理后续流程。</w:t>
      </w:r>
    </w:p>
    <w:p>
      <w:pPr>
        <w:pStyle w:val="BodyText"/>
      </w:pPr>
      <w:r>
        <w:rPr>
          <w:rFonts w:hint="eastAsia"/>
          <w:color w:val="000000"/>
        </w:rPr>
        <w:t xml:space="preserve">如果答案正确，系统会播放正确反馈并在短暂停留后自动切换到下一题，避免频繁额外点击；如果答案错误，页面会展示正确答案和错误反馈，用户需要主动确认后才能继续下一题。这种机制既保留了节奏，也给用户留下观察错误结果的时间。</w:t>
      </w:r>
    </w:p>
    <w:p>
      <w:pPr>
        <w:pStyle w:val="BodyText"/>
      </w:pPr>
      <w:r>
        <w:rPr>
          <w:rFonts w:hint="eastAsia"/>
          <w:color w:val="000000"/>
        </w:rPr>
        <w:t xml:space="preserve">在实际使用中，用户先查看题目和当前输入状态，再通过数字键盘输入答案，必要时使用删除键修改输入内容，然后点击确认键提交。未输入数字时系统会提示先输入答案；输入和提交操作也设置了短间隔限制，避免重复触发。整关所有题目完成后，页面会自动进入结算界面。</w:t>
      </w:r>
    </w:p>
    <w:p>
      <w:pPr>
        <w:pStyle w:val="CaptionedFigure"/>
      </w:pPr>
      <w:r>
        <w:rPr>
          <w:color w:val="000000"/>
        </w:rPr>
        <w:drawing>
          <wp:inline>
            <wp:extent cx="5334000" cy="11538942"/>
            <wp:effectExtent b="0" l="0" r="0" t="0"/>
            <wp:docPr descr="关卡练习页面" title="" id="22" name="Picture"/>
            <a:graphic>
              <a:graphicData uri="http://schemas.openxmlformats.org/drawingml/2006/picture">
                <pic:pic>
                  <pic:nvPicPr>
                    <pic:cNvPr descr="/Users/hezf/github/math-game/软件著作权申请资料/截图/关卡练习页-基础.jpg" id="23" name="Picture"/>
                    <pic:cNvPicPr>
                      <a:picLocks noChangeArrowheads="1" noChangeAspect="1"/>
                    </pic:cNvPicPr>
                  </pic:nvPicPr>
                  <pic:blipFill>
                    <a:blip r:embed="rId21"/>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关卡练习页面</w:t>
      </w:r>
    </w:p>
    <w:p>
      <w:pPr>
        <w:pStyle w:val="CaptionedFigure"/>
      </w:pPr>
      <w:r>
        <w:rPr>
          <w:color w:val="000000"/>
        </w:rPr>
        <w:drawing>
          <wp:inline>
            <wp:extent cx="5334000" cy="11538942"/>
            <wp:effectExtent b="0" l="0" r="0" t="0"/>
            <wp:docPr descr="关卡练习页面-小球辅助" title="" id="25" name="Picture"/>
            <a:graphic>
              <a:graphicData uri="http://schemas.openxmlformats.org/drawingml/2006/picture">
                <pic:pic>
                  <pic:nvPicPr>
                    <pic:cNvPr descr="/Users/hezf/github/math-game/软件著作权申请资料/截图/关卡练习页-小球辅助.jpg" id="26" name="Picture"/>
                    <pic:cNvPicPr>
                      <a:picLocks noChangeArrowheads="1" noChangeAspect="1"/>
                    </pic:cNvPicPr>
                  </pic:nvPicPr>
                  <pic:blipFill>
                    <a:blip r:embed="rId24"/>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关卡练习页面-小球辅助</w:t>
      </w:r>
    </w:p>
    <w:bookmarkEnd w:id="27"/>
    <w:bookmarkStart w:id="34" w:name="八结算结果与错题重练"/>
    <w:p>
      <w:pPr>
        <w:pStyle w:val="Heading2"/>
      </w:pPr>
      <w:r>
        <w:rPr>
          <w:rFonts w:hint="eastAsia"/>
          <w:color w:val="000000"/>
        </w:rPr>
        <w:t xml:space="preserve">八、结算结果与错题重练</w:t>
      </w:r>
    </w:p>
    <w:p>
      <w:pPr>
        <w:pStyle w:val="FirstParagraph"/>
      </w:pPr>
      <w:r>
        <w:rPr>
          <w:rFonts w:hint="eastAsia"/>
          <w:color w:val="000000"/>
        </w:rPr>
        <w:t xml:space="preserve">结算结果与错题重练页面会在用户完成当前关卡全部题目后自动显示，用于汇总本轮成绩、判断是否通过，并提供重新开始或错题重练入口。</w:t>
      </w:r>
    </w:p>
    <w:p>
      <w:pPr>
        <w:pStyle w:val="BodyText"/>
      </w:pPr>
      <w:r>
        <w:rPr>
          <w:rFonts w:hint="eastAsia"/>
          <w:color w:val="000000"/>
        </w:rPr>
        <w:t xml:space="preserve">该页面会展示正确率、用时、星级、新纪录提示、计时榜信息和错题列表。用户可以据此判断自己本轮的练习效果，并决定是继续强化还是返回选关页。</w:t>
      </w:r>
    </w:p>
    <w:p>
      <w:pPr>
        <w:pStyle w:val="BodyText"/>
      </w:pPr>
      <w:r>
        <w:rPr>
          <w:rFonts w:hint="eastAsia"/>
          <w:color w:val="000000"/>
        </w:rPr>
        <w:t xml:space="preserve">当正确率达到</w:t>
      </w:r>
      <w:r>
        <w:rPr>
          <w:color w:val="000000"/>
        </w:rPr>
        <w:t xml:space="preserve"> 85% </w:t>
      </w:r>
      <w:r>
        <w:rPr>
          <w:rFonts w:hint="eastAsia"/>
          <w:color w:val="000000"/>
        </w:rPr>
        <w:t xml:space="preserve">时，系统会把该关视为通过，并在满足条件时解锁下一关；如果本轮成绩刷新了最佳记录，页面也会给出相应提示。若用户选择“仅重练错题”，系统只会载入本轮答错的题目重新开始，不会把该轮成绩计入正式榜单。</w:t>
      </w:r>
    </w:p>
    <w:p>
      <w:pPr>
        <w:pStyle w:val="BodyText"/>
      </w:pPr>
      <w:r>
        <w:rPr>
          <w:rFonts w:hint="eastAsia"/>
          <w:color w:val="000000"/>
        </w:rPr>
        <w:t xml:space="preserve">通常情况下，用户先查看结算面板中的正确率和通过结果，再根据页面中的按钮选择重新开始、仅重练错题或返回关卡页。整个页面以结果查看和下一步决策为主，不需要再次输入答案。</w:t>
      </w:r>
    </w:p>
    <w:p>
      <w:pPr>
        <w:pStyle w:val="CaptionedFigure"/>
      </w:pPr>
      <w:r>
        <w:rPr>
          <w:color w:val="000000"/>
        </w:rPr>
        <w:drawing>
          <wp:inline>
            <wp:extent cx="5334000" cy="11538942"/>
            <wp:effectExtent b="0" l="0" r="0" t="0"/>
            <wp:docPr descr="结算结果页面" title="" id="29" name="Picture"/>
            <a:graphic>
              <a:graphicData uri="http://schemas.openxmlformats.org/drawingml/2006/picture">
                <pic:pic>
                  <pic:nvPicPr>
                    <pic:cNvPr descr="/Users/hezf/github/math-game/软件著作权申请资料/截图/结算结果页.jpg" id="30" name="Picture"/>
                    <pic:cNvPicPr>
                      <a:picLocks noChangeArrowheads="1" noChangeAspect="1"/>
                    </pic:cNvPicPr>
                  </pic:nvPicPr>
                  <pic:blipFill>
                    <a:blip r:embed="rId28"/>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结算结果页面</w:t>
      </w:r>
    </w:p>
    <w:p>
      <w:pPr>
        <w:pStyle w:val="CaptionedFigure"/>
      </w:pPr>
      <w:r>
        <w:rPr>
          <w:color w:val="000000"/>
        </w:rPr>
        <w:drawing>
          <wp:inline>
            <wp:extent cx="5334000" cy="11538942"/>
            <wp:effectExtent b="0" l="0" r="0" t="0"/>
            <wp:docPr descr="错题列表页面" title="" id="32" name="Picture"/>
            <a:graphic>
              <a:graphicData uri="http://schemas.openxmlformats.org/drawingml/2006/picture">
                <pic:pic>
                  <pic:nvPicPr>
                    <pic:cNvPr descr="/Users/hezf/github/math-game/软件著作权申请资料/截图/错题页.jpg" id="33" name="Picture"/>
                    <pic:cNvPicPr>
                      <a:picLocks noChangeArrowheads="1" noChangeAspect="1"/>
                    </pic:cNvPicPr>
                  </pic:nvPicPr>
                  <pic:blipFill>
                    <a:blip r:embed="rId31"/>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错题列表页面</w:t>
      </w:r>
    </w:p>
    <w:bookmarkEnd w:id="34"/>
    <w:bookmarkStart w:id="38" w:name="九数字探索-自由探索"/>
    <w:p>
      <w:pPr>
        <w:pStyle w:val="Heading2"/>
      </w:pPr>
      <w:r>
        <w:rPr>
          <w:rFonts w:hint="eastAsia"/>
          <w:color w:val="000000"/>
        </w:rPr>
        <w:t xml:space="preserve">九、数字探索-自由探索</w:t>
      </w:r>
    </w:p>
    <w:p>
      <w:pPr>
        <w:pStyle w:val="FirstParagraph"/>
      </w:pPr>
      <w:r>
        <w:rPr>
          <w:rFonts w:hint="eastAsia"/>
          <w:color w:val="000000"/>
        </w:rPr>
        <w:t xml:space="preserve">数字探索的自由探索模式用于让用户输入</w:t>
      </w:r>
      <w:r>
        <w:rPr>
          <w:color w:val="000000"/>
        </w:rPr>
        <w:t xml:space="preserve"> 1 </w:t>
      </w:r>
      <w:r>
        <w:rPr>
          <w:rFonts w:hint="eastAsia"/>
          <w:color w:val="000000"/>
        </w:rPr>
        <w:t xml:space="preserve">到</w:t>
      </w:r>
      <w:r>
        <w:rPr>
          <w:color w:val="000000"/>
        </w:rPr>
        <w:t xml:space="preserve"> 1000 </w:t>
      </w:r>
      <w:r>
        <w:rPr>
          <w:rFonts w:hint="eastAsia"/>
          <w:color w:val="000000"/>
        </w:rPr>
        <w:t xml:space="preserve">的数字，并直观看到对应的小球数量结构，帮助理解百、十、个的构成关系。用户从首页点击“数字探索”后，默认进入该模式。</w:t>
      </w:r>
    </w:p>
    <w:p>
      <w:pPr>
        <w:pStyle w:val="BodyText"/>
      </w:pPr>
      <w:r>
        <w:rPr>
          <w:rFonts w:hint="eastAsia"/>
          <w:color w:val="000000"/>
        </w:rPr>
        <w:t xml:space="preserve">页面中会显示数字输入区、数字键盘、快捷数量按钮、状态提示文字、球阵展示区域和数量构成说明。与主线闯关不同，这个页面不强调通过与否，而是强调观察和理解数字对应的数量表现。</w:t>
      </w:r>
    </w:p>
    <w:p>
      <w:pPr>
        <w:pStyle w:val="BodyText"/>
      </w:pPr>
      <w:r>
        <w:rPr>
          <w:rFonts w:hint="eastAsia"/>
          <w:color w:val="000000"/>
        </w:rPr>
        <w:t xml:space="preserve">用户可以直接通过数字键盘输入目标数字，也可以点击快捷数量按钮快速查看</w:t>
      </w:r>
      <w:r>
        <w:rPr>
          <w:color w:val="000000"/>
        </w:rPr>
        <w:t xml:space="preserve"> 10、50、100、500、1000 </w:t>
      </w:r>
      <w:r>
        <w:rPr>
          <w:rFonts w:hint="eastAsia"/>
          <w:color w:val="000000"/>
        </w:rPr>
        <w:t xml:space="preserve">等典型数量。点击确认后，页面会显示对应的小球阵列和数量说明，便于用户观察当前数字由几个百、几个十和几个一组成。</w:t>
      </w:r>
    </w:p>
    <w:p>
      <w:pPr>
        <w:pStyle w:val="BodyText"/>
      </w:pPr>
      <w:r>
        <w:rPr>
          <w:rFonts w:hint="eastAsia"/>
          <w:color w:val="000000"/>
        </w:rPr>
        <w:t xml:space="preserve">输入范围限制为</w:t>
      </w:r>
      <w:r>
        <w:rPr>
          <w:color w:val="000000"/>
        </w:rPr>
        <w:t xml:space="preserve"> 1 </w:t>
      </w:r>
      <w:r>
        <w:rPr>
          <w:rFonts w:hint="eastAsia"/>
          <w:color w:val="000000"/>
        </w:rPr>
        <w:t xml:space="preserve">到</w:t>
      </w:r>
      <w:r>
        <w:rPr>
          <w:color w:val="000000"/>
        </w:rPr>
        <w:t xml:space="preserve"> </w:t>
      </w:r>
      <w:r>
        <w:rPr>
          <w:rFonts w:hint="eastAsia"/>
          <w:color w:val="000000"/>
        </w:rPr>
        <w:t xml:space="preserve">1000，0</w:t>
      </w:r>
      <w:r>
        <w:rPr>
          <w:color w:val="000000"/>
        </w:rPr>
        <w:t xml:space="preserve"> </w:t>
      </w:r>
      <w:r>
        <w:rPr>
          <w:rFonts w:hint="eastAsia"/>
          <w:color w:val="000000"/>
        </w:rPr>
        <w:t xml:space="preserve">不能单独作为有效输入，超出范围时系统会提示用户调整。用户在结果页中还可以继续浏览相邻数量，或返回输入状态重新选择新的数字。</w:t>
      </w:r>
    </w:p>
    <w:p>
      <w:pPr>
        <w:pStyle w:val="CaptionedFigure"/>
      </w:pPr>
      <w:r>
        <w:rPr>
          <w:color w:val="000000"/>
        </w:rPr>
        <w:drawing>
          <wp:inline>
            <wp:extent cx="5334000" cy="11538942"/>
            <wp:effectExtent b="0" l="0" r="0" t="0"/>
            <wp:docPr descr="数字探索自由模式" title="" id="36" name="Picture"/>
            <a:graphic>
              <a:graphicData uri="http://schemas.openxmlformats.org/drawingml/2006/picture">
                <pic:pic>
                  <pic:nvPicPr>
                    <pic:cNvPr descr="/Users/hezf/github/math-game/软件著作权申请资料/截图/数字探索-自由模式.jpg" id="37" name="Picture"/>
                    <pic:cNvPicPr>
                      <a:picLocks noChangeArrowheads="1" noChangeAspect="1"/>
                    </pic:cNvPicPr>
                  </pic:nvPicPr>
                  <pic:blipFill>
                    <a:blip r:embed="rId35"/>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数字探索自由模式</w:t>
      </w:r>
    </w:p>
    <w:bookmarkEnd w:id="38"/>
    <w:bookmarkStart w:id="45" w:name="十数字探索-挑战模式"/>
    <w:p>
      <w:pPr>
        <w:pStyle w:val="Heading2"/>
      </w:pPr>
      <w:r>
        <w:rPr>
          <w:rFonts w:hint="eastAsia"/>
          <w:color w:val="000000"/>
        </w:rPr>
        <w:t xml:space="preserve">十、数字探索-挑战模式</w:t>
      </w:r>
    </w:p>
    <w:p>
      <w:pPr>
        <w:pStyle w:val="FirstParagraph"/>
      </w:pPr>
      <w:r>
        <w:rPr>
          <w:rFonts w:hint="eastAsia"/>
          <w:color w:val="000000"/>
        </w:rPr>
        <w:t xml:space="preserve">挑战模式用于训练用户对不同数量区间的观察和估算能力。用户在数字探索页点击“挑战模式”按钮后，页面会切换到区间挑战状态。</w:t>
      </w:r>
    </w:p>
    <w:p>
      <w:pPr>
        <w:pStyle w:val="BodyText"/>
      </w:pPr>
      <w:r>
        <w:rPr>
          <w:rFonts w:hint="eastAsia"/>
          <w:color w:val="000000"/>
        </w:rPr>
        <w:t xml:space="preserve">在该模式下，页面会展示当前挑战范围、数字输入区、球阵结果区和状态提示。用户需要先观察球阵或区间提示，再输入自己猜测的数字，随后由系统给出是否猜中的反馈。</w:t>
      </w:r>
    </w:p>
    <w:p>
      <w:pPr>
        <w:pStyle w:val="BodyText"/>
      </w:pPr>
      <w:r>
        <w:rPr>
          <w:rFonts w:hint="eastAsia"/>
          <w:color w:val="000000"/>
        </w:rPr>
        <w:t xml:space="preserve">系统会按照预设范围生成目标数量，例如</w:t>
      </w:r>
      <w:r>
        <w:rPr>
          <w:color w:val="000000"/>
        </w:rPr>
        <w:t xml:space="preserve"> 10 </w:t>
      </w:r>
      <w:r>
        <w:rPr>
          <w:rFonts w:hint="eastAsia"/>
          <w:color w:val="000000"/>
        </w:rPr>
        <w:t xml:space="preserve">以内、20</w:t>
      </w:r>
      <w:r>
        <w:rPr>
          <w:color w:val="000000"/>
        </w:rPr>
        <w:t xml:space="preserve"> </w:t>
      </w:r>
      <w:r>
        <w:rPr>
          <w:rFonts w:hint="eastAsia"/>
          <w:color w:val="000000"/>
        </w:rPr>
        <w:t xml:space="preserve">几、50</w:t>
      </w:r>
      <w:r>
        <w:rPr>
          <w:color w:val="000000"/>
        </w:rPr>
        <w:t xml:space="preserve"> </w:t>
      </w:r>
      <w:r>
        <w:rPr>
          <w:rFonts w:hint="eastAsia"/>
          <w:color w:val="000000"/>
        </w:rPr>
        <w:t xml:space="preserve">几或更高区间。用户猜对后，页面会提示正确并累计当前档位的答对数量；若猜错，系统会显示正确答案，帮助用户把视觉印象和真实数量对应起来。</w:t>
      </w:r>
    </w:p>
    <w:p>
      <w:pPr>
        <w:pStyle w:val="BodyText"/>
      </w:pPr>
      <w:r>
        <w:rPr>
          <w:rFonts w:hint="eastAsia"/>
          <w:color w:val="000000"/>
        </w:rPr>
        <w:t xml:space="preserve">正常操作时，用户先选择或保持当前挑战区间，再输入猜测数字并提交结果。猜测数字同样必须在</w:t>
      </w:r>
      <w:r>
        <w:rPr>
          <w:color w:val="000000"/>
        </w:rPr>
        <w:t xml:space="preserve"> 1 </w:t>
      </w:r>
      <w:r>
        <w:rPr>
          <w:rFonts w:hint="eastAsia"/>
          <w:color w:val="000000"/>
        </w:rPr>
        <w:t xml:space="preserve">到</w:t>
      </w:r>
      <w:r>
        <w:rPr>
          <w:color w:val="000000"/>
        </w:rPr>
        <w:t xml:space="preserve"> 1000 </w:t>
      </w:r>
      <w:r>
        <w:rPr>
          <w:rFonts w:hint="eastAsia"/>
          <w:color w:val="000000"/>
        </w:rPr>
        <w:t xml:space="preserve">范围内；切换挑战区间时，当前档位的答对数量会重新计算。每轮反馈结束后，用户可以继续下一题，也可以重新练习当前范围。</w:t>
      </w:r>
    </w:p>
    <w:p>
      <w:pPr>
        <w:pStyle w:val="CaptionedFigure"/>
      </w:pPr>
      <w:r>
        <w:rPr>
          <w:color w:val="000000"/>
        </w:rPr>
        <w:drawing>
          <wp:inline>
            <wp:extent cx="5334000" cy="11538942"/>
            <wp:effectExtent b="0" l="0" r="0" t="0"/>
            <wp:docPr descr="数字探索挑战模式-范围选择" title="" id="40" name="Picture"/>
            <a:graphic>
              <a:graphicData uri="http://schemas.openxmlformats.org/drawingml/2006/picture">
                <pic:pic>
                  <pic:nvPicPr>
                    <pic:cNvPr descr="/Users/hezf/github/math-game/软件著作权申请资料/截图/数字探索-挑战模式-范围选择.jpg" id="41" name="Picture"/>
                    <pic:cNvPicPr>
                      <a:picLocks noChangeArrowheads="1" noChangeAspect="1"/>
                    </pic:cNvPicPr>
                  </pic:nvPicPr>
                  <pic:blipFill>
                    <a:blip r:embed="rId39"/>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数字探索挑战模式-范围选择</w:t>
      </w:r>
    </w:p>
    <w:p>
      <w:pPr>
        <w:pStyle w:val="CaptionedFigure"/>
      </w:pPr>
      <w:r>
        <w:rPr>
          <w:color w:val="000000"/>
        </w:rPr>
        <w:drawing>
          <wp:inline>
            <wp:extent cx="5334000" cy="11538942"/>
            <wp:effectExtent b="0" l="0" r="0" t="0"/>
            <wp:docPr descr="数字探索挑战模式-作答" title="" id="43" name="Picture"/>
            <a:graphic>
              <a:graphicData uri="http://schemas.openxmlformats.org/drawingml/2006/picture">
                <pic:pic>
                  <pic:nvPicPr>
                    <pic:cNvPr descr="/Users/hezf/github/math-game/软件著作权申请资料/截图/数字探索-挑战模式-作答.jpg" id="44" name="Picture"/>
                    <pic:cNvPicPr>
                      <a:picLocks noChangeArrowheads="1" noChangeAspect="1"/>
                    </pic:cNvPicPr>
                  </pic:nvPicPr>
                  <pic:blipFill>
                    <a:blip r:embed="rId42"/>
                    <a:stretch>
                      <a:fillRect/>
                    </a:stretch>
                  </pic:blipFill>
                  <pic:spPr bwMode="auto">
                    <a:xfrm>
                      <a:off x="0" y="0"/>
                      <a:ext cx="5334000" cy="11538942"/>
                    </a:xfrm>
                    <a:prstGeom prst="rect">
                      <a:avLst/>
                    </a:prstGeom>
                    <a:noFill/>
                    <a:ln w="9525">
                      <a:noFill/>
                      <a:headEnd/>
                      <a:tailEnd/>
                    </a:ln>
                  </pic:spPr>
                </pic:pic>
              </a:graphicData>
            </a:graphic>
          </wp:inline>
        </w:drawing>
      </w:r>
    </w:p>
    <w:p>
      <w:pPr>
        <w:pStyle w:val="ImageCaption"/>
      </w:pPr>
      <w:r>
        <w:rPr>
          <w:rFonts w:hint="eastAsia"/>
          <w:color w:val="000000"/>
        </w:rPr>
        <w:t xml:space="preserve">数字探索挑战模式-作答</w:t>
      </w:r>
    </w:p>
    <w:bookmarkEnd w:id="45"/>
    <w:bookmarkStart w:id="46" w:name="十一典型使用流程"/>
    <w:p>
      <w:pPr>
        <w:pStyle w:val="Heading2"/>
      </w:pPr>
      <w:r>
        <w:rPr>
          <w:rFonts w:hint="eastAsia"/>
          <w:color w:val="000000"/>
        </w:rPr>
        <w:t xml:space="preserve">十一、典型使用流程</w:t>
      </w:r>
    </w:p>
    <w:p>
      <w:pPr>
        <w:pStyle w:val="FirstParagraph"/>
      </w:pPr>
      <w:r>
        <w:rPr>
          <w:rFonts w:hint="eastAsia"/>
          <w:color w:val="000000"/>
        </w:rPr>
        <w:t xml:space="preserve">用户完成一次完整练习时，通常先进入首页，再点击“开始挑战”进入关卡选择页面。查看已解锁关卡和当前进度后，用户进入目标关卡逐题作答，系统在每题提交后给出正确或错误反馈。整关结束后，用户在结算页查看正确率、用时和错题情况，并根据需要选择重新开始、仅重练错题或返回选关页。</w:t>
      </w:r>
    </w:p>
    <w:p>
      <w:pPr>
        <w:pStyle w:val="BodyText"/>
      </w:pPr>
      <w:r>
        <w:rPr>
          <w:rFonts w:hint="eastAsia"/>
          <w:color w:val="000000"/>
        </w:rPr>
        <w:t xml:space="preserve">如果用户希望进行数量感训练而不是正式闯关，可以从首页进入数字探索页面，在自由探索模式中输入数字查看球阵，或切换到挑战模式进行区间猜数训练。两条使用路径互不干扰，用户可根据当天的训练目的自由选择。</w:t>
      </w:r>
    </w:p>
    <w:bookmarkEnd w:id="46"/>
    <w:bookmarkStart w:id="47" w:name="十二常见问题解答"/>
    <w:p>
      <w:pPr>
        <w:pStyle w:val="Heading2"/>
      </w:pPr>
      <w:r>
        <w:rPr>
          <w:rFonts w:hint="eastAsia"/>
          <w:color w:val="000000"/>
        </w:rPr>
        <w:t xml:space="preserve">十二、常见问题解答</w:t>
      </w:r>
    </w:p>
    <w:p>
      <w:pPr>
        <w:pStyle w:val="FirstParagraph"/>
      </w:pPr>
      <w:r>
        <w:rPr>
          <w:rFonts w:hint="eastAsia"/>
          <w:color w:val="000000"/>
        </w:rPr>
        <w:t xml:space="preserve">问题：为什么下一关还是锁定状态？</w:t>
      </w:r>
      <w:r>
        <w:rPr>
          <w:color w:val="000000"/>
        </w:rPr>
        <w:t xml:space="preserve"> </w:t>
      </w:r>
      <w:r>
        <w:rPr>
          <w:rFonts w:hint="eastAsia"/>
          <w:color w:val="000000"/>
        </w:rPr>
        <w:t xml:space="preserve">解决方法：只有在当前关卡完成全部题目且正确率达到</w:t>
      </w:r>
      <w:r>
        <w:rPr>
          <w:color w:val="000000"/>
        </w:rPr>
        <w:t xml:space="preserve"> 85% </w:t>
      </w:r>
      <w:r>
        <w:rPr>
          <w:rFonts w:hint="eastAsia"/>
          <w:color w:val="000000"/>
        </w:rPr>
        <w:t xml:space="preserve">后，下一关才会自动解锁。如果本轮未达到通过线，需要重新完成当前关卡。</w:t>
      </w:r>
    </w:p>
    <w:p>
      <w:pPr>
        <w:pStyle w:val="BodyText"/>
      </w:pPr>
      <w:r>
        <w:rPr>
          <w:rFonts w:hint="eastAsia"/>
          <w:color w:val="000000"/>
        </w:rPr>
        <w:t xml:space="preserve">问题：为什么错题重练后没有刷新最佳成绩？</w:t>
      </w:r>
      <w:r>
        <w:rPr>
          <w:color w:val="000000"/>
        </w:rPr>
        <w:t xml:space="preserve"> </w:t>
      </w:r>
      <w:r>
        <w:rPr>
          <w:rFonts w:hint="eastAsia"/>
          <w:color w:val="000000"/>
        </w:rPr>
        <w:t xml:space="preserve">解决方法：错题重练用于针对性巩固错误题目，不参与正式闯关成绩和计时榜比较，因此不会更新最佳成绩或排名。</w:t>
      </w:r>
    </w:p>
    <w:p>
      <w:pPr>
        <w:pStyle w:val="BodyText"/>
      </w:pPr>
      <w:r>
        <w:rPr>
          <w:rFonts w:hint="eastAsia"/>
          <w:color w:val="000000"/>
        </w:rPr>
        <w:t xml:space="preserve">问题：数字探索里为什么不能输入</w:t>
      </w:r>
      <w:r>
        <w:rPr>
          <w:color w:val="000000"/>
        </w:rPr>
        <w:t xml:space="preserve"> 0 </w:t>
      </w:r>
      <w:r>
        <w:rPr>
          <w:rFonts w:hint="eastAsia"/>
          <w:color w:val="000000"/>
        </w:rPr>
        <w:t xml:space="preserve">或超过</w:t>
      </w:r>
      <w:r>
        <w:rPr>
          <w:color w:val="000000"/>
        </w:rPr>
        <w:t xml:space="preserve"> 1000 </w:t>
      </w:r>
      <w:r>
        <w:rPr>
          <w:rFonts w:hint="eastAsia"/>
          <w:color w:val="000000"/>
        </w:rPr>
        <w:t xml:space="preserve">的数字？</w:t>
      </w:r>
      <w:r>
        <w:rPr>
          <w:color w:val="000000"/>
        </w:rPr>
        <w:t xml:space="preserve"> </w:t>
      </w:r>
      <w:r>
        <w:rPr>
          <w:rFonts w:hint="eastAsia"/>
          <w:color w:val="000000"/>
        </w:rPr>
        <w:t xml:space="preserve">解决方法：当前探索功能的设计范围是</w:t>
      </w:r>
      <w:r>
        <w:rPr>
          <w:color w:val="000000"/>
        </w:rPr>
        <w:t xml:space="preserve"> 1 </w:t>
      </w:r>
      <w:r>
        <w:rPr>
          <w:rFonts w:hint="eastAsia"/>
          <w:color w:val="000000"/>
        </w:rPr>
        <w:t xml:space="preserve">到</w:t>
      </w:r>
      <w:r>
        <w:rPr>
          <w:color w:val="000000"/>
        </w:rPr>
        <w:t xml:space="preserve"> </w:t>
      </w:r>
      <w:r>
        <w:rPr>
          <w:rFonts w:hint="eastAsia"/>
          <w:color w:val="000000"/>
        </w:rPr>
        <w:t xml:space="preserve">1000，用于对应固定的十进制球阵展示，因此超出范围或输入</w:t>
      </w:r>
      <w:r>
        <w:rPr>
          <w:color w:val="000000"/>
        </w:rPr>
        <w:t xml:space="preserve"> 0 </w:t>
      </w:r>
      <w:r>
        <w:rPr>
          <w:rFonts w:hint="eastAsia"/>
          <w:color w:val="000000"/>
        </w:rPr>
        <w:t xml:space="preserve">时系统会给出提示。</w:t>
      </w:r>
    </w:p>
    <w:p>
      <w:pPr>
        <w:pStyle w:val="BodyText"/>
      </w:pPr>
      <w:r>
        <w:rPr>
          <w:rFonts w:hint="eastAsia"/>
          <w:color w:val="000000"/>
        </w:rPr>
        <w:t xml:space="preserve">问题：更换设备后为什么看不到以前的成绩？</w:t>
      </w:r>
      <w:r>
        <w:rPr>
          <w:color w:val="000000"/>
        </w:rPr>
        <w:t xml:space="preserve"> </w:t>
      </w:r>
      <w:r>
        <w:rPr>
          <w:rFonts w:hint="eastAsia"/>
          <w:color w:val="000000"/>
        </w:rPr>
        <w:t xml:space="preserve">解决方法：软件当前把学习进度和成绩保存在本机浏览器的本地存储中，不同设备或清空浏览器数据后不会自动同步历史记录。</w:t>
      </w:r>
    </w:p>
    <w:bookmarkEnd w:id="47"/>
    <w:bookmarkStart w:id="48" w:name="十三术语表"/>
    <w:p>
      <w:pPr>
        <w:pStyle w:val="Heading2"/>
      </w:pPr>
      <w:r>
        <w:rPr>
          <w:rFonts w:hint="eastAsia"/>
          <w:color w:val="000000"/>
        </w:rPr>
        <w:t xml:space="preserve">十三、术语表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color w:val="000000"/>
              </w:rPr>
              <w:t xml:space="preserve">术语</w:t>
            </w:r>
          </w:p>
        </w:tc>
        <w:tc>
          <w:tcPr/>
          <w:p>
            <w:pPr>
              <w:pStyle w:val="Compact"/>
            </w:pPr>
            <w:r>
              <w:rPr>
                <w:rFonts w:hint="eastAsia"/>
                <w:color w:val="000000"/>
              </w:rPr>
              <w:t xml:space="preserve">解释</w:t>
            </w:r>
          </w:p>
        </w:tc>
      </w:tr>
      <w:tr>
        <w:tc>
          <w:tcPr/>
          <w:p>
            <w:pPr>
              <w:pStyle w:val="Compact"/>
            </w:pPr>
            <w:r>
              <w:rPr>
                <w:rFonts w:hint="eastAsia"/>
                <w:color w:val="000000"/>
              </w:rPr>
              <w:t xml:space="preserve">主线关卡</w:t>
            </w:r>
          </w:p>
        </w:tc>
        <w:tc>
          <w:tcPr/>
          <w:p>
            <w:pPr>
              <w:pStyle w:val="Compact"/>
            </w:pPr>
            <w:r>
              <w:rPr>
                <w:rFonts w:hint="eastAsia"/>
                <w:color w:val="000000"/>
              </w:rPr>
              <w:t xml:space="preserve">软件中按学习顺序排列的正式训练关卡，用户需要逐关通过后才能解锁后续内容。</w:t>
            </w:r>
          </w:p>
        </w:tc>
      </w:tr>
      <w:tr>
        <w:tc>
          <w:tcPr/>
          <w:p>
            <w:pPr>
              <w:pStyle w:val="Compact"/>
            </w:pPr>
            <w:r>
              <w:rPr>
                <w:rFonts w:hint="eastAsia"/>
                <w:color w:val="000000"/>
              </w:rPr>
              <w:t xml:space="preserve">错题重练</w:t>
            </w:r>
          </w:p>
        </w:tc>
        <w:tc>
          <w:tcPr/>
          <w:p>
            <w:pPr>
              <w:pStyle w:val="Compact"/>
            </w:pPr>
            <w:r>
              <w:rPr>
                <w:rFonts w:hint="eastAsia"/>
                <w:color w:val="000000"/>
              </w:rPr>
              <w:t xml:space="preserve">在结算页仅提取本轮答错的题目重新练习的功能，用于集中巩固薄弱点。</w:t>
            </w:r>
          </w:p>
        </w:tc>
      </w:tr>
      <w:tr>
        <w:tc>
          <w:tcPr/>
          <w:p>
            <w:pPr>
              <w:pStyle w:val="Compact"/>
            </w:pPr>
            <w:r>
              <w:rPr>
                <w:rFonts w:hint="eastAsia"/>
                <w:color w:val="000000"/>
              </w:rPr>
              <w:t xml:space="preserve">小球辅助</w:t>
            </w:r>
          </w:p>
        </w:tc>
        <w:tc>
          <w:tcPr/>
          <w:p>
            <w:pPr>
              <w:pStyle w:val="Compact"/>
            </w:pPr>
            <w:r>
              <w:rPr>
                <w:rFonts w:hint="eastAsia"/>
                <w:color w:val="000000"/>
              </w:rPr>
              <w:t xml:space="preserve">在部分题目中配合算式展示的小球数量图形，用来帮助用户理解加、减和缺项关系。</w:t>
            </w:r>
          </w:p>
        </w:tc>
      </w:tr>
      <w:tr>
        <w:tc>
          <w:tcPr/>
          <w:p>
            <w:pPr>
              <w:pStyle w:val="Compact"/>
            </w:pPr>
            <w:r>
              <w:rPr>
                <w:rFonts w:hint="eastAsia"/>
                <w:color w:val="000000"/>
              </w:rPr>
              <w:t xml:space="preserve">数字探索</w:t>
            </w:r>
          </w:p>
        </w:tc>
        <w:tc>
          <w:tcPr/>
          <w:p>
            <w:pPr>
              <w:pStyle w:val="Compact"/>
            </w:pPr>
            <w:r>
              <w:rPr>
                <w:rFonts w:hint="eastAsia"/>
                <w:color w:val="000000"/>
              </w:rPr>
              <w:t xml:space="preserve">通过输入数字或进行区间挑战来观察十进制球阵的功能，用于训练数量感和数字结构理解。</w:t>
            </w:r>
          </w:p>
        </w:tc>
      </w:tr>
      <w:tr>
        <w:tc>
          <w:tcPr/>
          <w:p>
            <w:pPr>
              <w:pStyle w:val="Compact"/>
            </w:pPr>
            <w:r>
              <w:rPr>
                <w:rFonts w:hint="eastAsia"/>
                <w:color w:val="000000"/>
              </w:rPr>
              <w:t xml:space="preserve">同题量计时榜</w:t>
            </w:r>
          </w:p>
        </w:tc>
        <w:tc>
          <w:tcPr/>
          <w:p>
            <w:pPr>
              <w:pStyle w:val="Compact"/>
            </w:pPr>
            <w:r>
              <w:rPr>
                <w:rFonts w:hint="eastAsia"/>
                <w:color w:val="000000"/>
              </w:rPr>
              <w:t xml:space="preserve">只比较与当前关卡题量一致的本地完成时间记录，避免不同题量的成绩直接混排。</w:t>
            </w:r>
          </w:p>
        </w:tc>
      </w:tr>
    </w:tbl>
    <w:bookmarkEnd w:id="48"/>
    <w:bookmarkEnd w:id="49"/>
    <w:sectPr>
      <w:headerReference w:type="default" r:id="rIdManualHead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tbl>
    <w:tblPr>
      <w:tblW w:w="5000" w:type="pct"/>
      <w:tblBorders>
        <w:top w:val="nil"/>
        <w:left w:val="nil"/>
        <w:bottom w:val="nil"/>
        <w:right w:val="nil"/>
        <w:insideH w:val="nil"/>
        <w:insideV w:val="nil"/>
      </w:tblBorders>
    </w:tblPr>
    <w:tr>
      <w:tc>
        <w:p>
          <w:pPr>
            <w:jc w:val="left"/>
            <w:spacing w:after="0" w:line="240" w:lineRule="exact"/>
          </w:pPr>
          <w:r>
            <w:rPr>
              <w:rFonts w:ascii="SimSun" w:hAnsi="SimSun" w:eastAsia="SimSun"/>
              <w:color w:val="000000"/>
              <w:sz w:val="16"/>
              <w:szCs w:val="16"/>
            </w:rPr>
            <w:t xml:space="preserve">数学运算游戏 V1.0.0</w:t>
          </w:r>
        </w:p>
      </w:tc>
      <w:tc>
        <w:p>
          <w:pPr>
            <w:jc w:val="right"/>
            <w:spacing w:after="0" w:line="240" w:lineRule="exact"/>
          </w:pPr>
          <w:r>
            <w:rPr>
              <w:rFonts w:ascii="SimSun" w:hAnsi="SimSun" w:eastAsia="SimSun"/>
              <w:color w:val="000000"/>
              <w:sz w:val="16"/>
              <w:szCs w:val="16"/>
            </w:rPr>
            <w:t xml:space="preserve">第 </w:t>
          </w:r>
          <w:r>
            <w:rPr>
              <w:rFonts w:ascii="SimSun" w:hAnsi="SimSun" w:eastAsia="SimSun"/>
              <w:color w:val="000000"/>
              <w:sz w:val="16"/>
              <w:szCs w:val="16"/>
            </w:rPr>
            <w:fldChar w:fldCharType="begin"/>
          </w:r>
          <w:r>
            <w:rPr>
              <w:rFonts w:ascii="SimSun" w:hAnsi="SimSun" w:eastAsia="SimSun"/>
              <w:color w:val="000000"/>
              <w:sz w:val="16"/>
              <w:szCs w:val="16"/>
            </w:rPr>
            <w:instrText xml:space="preserve"> PAGE </w:instrText>
          </w:r>
          <w:r>
            <w:rPr>
              <w:rFonts w:ascii="SimSun" w:hAnsi="SimSun" w:eastAsia="SimSun"/>
              <w:color w:val="000000"/>
              <w:sz w:val="16"/>
              <w:szCs w:val="16"/>
            </w:rPr>
            <w:fldChar w:fldCharType="separate"/>
          </w:r>
          <w:r>
            <w:rPr>
              <w:rFonts w:ascii="SimSun" w:hAnsi="SimSun" w:eastAsia="SimSun"/>
              <w:color w:val="000000"/>
              <w:sz w:val="16"/>
              <w:szCs w:val="16"/>
            </w:rPr>
            <w:t>1</w:t>
          </w:r>
          <w:r>
            <w:rPr>
              <w:rFonts w:ascii="SimSun" w:hAnsi="SimSun" w:eastAsia="SimSun"/>
              <w:color w:val="000000"/>
              <w:sz w:val="16"/>
              <w:szCs w:val="16"/>
            </w:rPr>
            <w:fldChar w:fldCharType="end"/>
          </w:r>
          <w:r>
            <w:rPr>
              <w:rFonts w:ascii="SimSun" w:hAnsi="SimSun" w:eastAsia="SimSun"/>
              <w:color w:val="000000"/>
              <w:sz w:val="16"/>
              <w:szCs w:val="16"/>
            </w:rPr>
            <w:t xml:space="preserve"> 页</w:t>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color w:val="000000"/>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color w:val="000000"/>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color w:val="000000"/>
    </w:rPr>
  </w:style>
  <w:style w:styleId="Date" w:type="paragraph">
    <w:name w:val="Date"/>
    <w:basedOn w:val="Title"/>
    <w:next w:val="BodyText"/>
    <w:qFormat/>
    <w:pPr>
      <w:keepNext/>
      <w:keepLines/>
    </w:pPr>
    <w:rPr>
      <w:sz w:val="24"/>
      <w:szCs w:val="24"/>
      <w:color w:val="000000"/>
    </w:rPr>
  </w:style>
  <w:style w:customStyle="1" w:styleId="AbstractTitle" w:type="paragraph">
    <w:name w:val="Abstract Title"/>
    <w:basedOn w:val="Normal"/>
    <w:next w:val="Abstract"/>
    <w:qFormat/>
    <w:pPr>
      <w:keepNext/>
      <w:keepLines/>
      <w:spacing w:after="0" w:before="300"/>
      <w:jc w:val="center"/>
    </w:pPr>
    <w:rPr>
      <w:b/>
      <w:sz w:val="20"/>
      <w:szCs w:val="20"/>
      <w:color w:val="000000"/>
    </w:rPr>
  </w:style>
  <w:style w:customStyle="1" w:styleId="Abstract" w:type="paragraph">
    <w:name w:val="Abstract"/>
    <w:basedOn w:val="Normal"/>
    <w:next w:val="BodyText"/>
    <w:qFormat/>
    <w:pPr>
      <w:keepNext/>
      <w:keepLines/>
      <w:spacing w:after="300" w:before="100"/>
    </w:pPr>
    <w:rPr>
      <w:sz w:val="20"/>
      <w:szCs w:val="20"/>
      <w:color w:val="00000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color w:val="000000"/>
    </w:rPr>
  </w:style>
  <w:style w:customStyle="1" w:styleId="SectionNumber" w:type="character">
    <w:name w:val="Section Number"/>
    <w:basedOn w:val="BodyTextChar"/>
  </w:style>
  <w:style w:styleId="FootnoteReference" w:type="character">
    <w:name w:val="Footnote Reference"/>
    <w:basedOn w:val="BodyTextChar"/>
    <w:rPr>
      <w:vertAlign w:val="superscript"/>
      <w:color w:val="000000"/>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17" Target="media/rId17.jpg" /><Relationship Type="http://schemas.openxmlformats.org/officeDocument/2006/relationships/image" Id="rId42" Target="media/rId42.jpg" /><Relationship Type="http://schemas.openxmlformats.org/officeDocument/2006/relationships/image" Id="rId39" Target="media/rId39.jpg" /><Relationship Type="http://schemas.openxmlformats.org/officeDocument/2006/relationships/image" Id="rId35" Target="media/rId35.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13" Target="media/rId13.jpg" /><Relationship Id="rIdManualHeader" Type="http://schemas.openxmlformats.org/officeDocument/2006/relationships/header" Target="head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2026-06-12T08:59:25Z</dcterms:created>
  <dcterms:modified xsi:type="dcterms:W3CDTF">2026-06-12T08:59:25Z</dcterms:modified>
</cp:coreProperties>
</file>

<file path=docProps/custom.xml><?xml version="1.0" encoding="utf-8"?>
<Properties xmlns="http://schemas.openxmlformats.org/officeDocument/2006/custom-properties" xmlns:vt="http://schemas.openxmlformats.org/officeDocument/2006/docPropsVTypes"/>
</file>