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工程师部署计划：v1.1 架构的工程落地手册</w:t>
      </w:r>
    </w:p>
    <w:p>
      <w:pPr>
        <w:spacing w:after="80"/>
        <w:ind w:left="283"/>
      </w:pPr>
      <w:r>
        <w:rPr>
          <w:i/>
          <w:color w:val="595959"/>
          <w:sz w:val="20"/>
        </w:rPr>
        <w:t>版本：v1.0（工程执行版）</w:t>
      </w:r>
    </w:p>
    <w:p>
      <w:pPr>
        <w:spacing w:after="80"/>
        <w:ind w:left="283"/>
      </w:pPr>
      <w:r>
        <w:rPr>
          <w:i/>
          <w:color w:val="595959"/>
          <w:sz w:val="20"/>
        </w:rPr>
        <w:t>关联文档：</w:t>
      </w:r>
      <w:r>
        <w:rPr>
          <w:rFonts w:ascii="Consolas" w:hAnsi="Consolas" w:eastAsia="微软雅黑"/>
          <w:i/>
          <w:color w:val="595959"/>
          <w:sz w:val="20"/>
        </w:rPr>
        <w:t>industrial-automation-ai-agent-closed-loop-architecture.md</w:t>
      </w:r>
      <w:r>
        <w:rPr>
          <w:i/>
          <w:color w:val="595959"/>
          <w:sz w:val="20"/>
        </w:rPr>
        <w:t>（v1.1 架构）、</w:t>
      </w:r>
      <w:r>
        <w:rPr>
          <w:rFonts w:ascii="Consolas" w:hAnsi="Consolas" w:eastAsia="微软雅黑"/>
          <w:i/>
          <w:color w:val="595959"/>
          <w:sz w:val="20"/>
        </w:rPr>
        <w:t>v1.1-implementation-plan.md</w:t>
      </w:r>
      <w:r>
        <w:rPr>
          <w:i/>
          <w:color w:val="595959"/>
          <w:sz w:val="20"/>
        </w:rPr>
        <w:t>（落实计划书，本手册的 M1–M8 与其一致）</w:t>
      </w:r>
    </w:p>
    <w:p>
      <w:pPr>
        <w:spacing w:after="80"/>
        <w:ind w:left="283"/>
      </w:pPr>
      <w:r>
        <w:rPr>
          <w:i/>
          <w:color w:val="595959"/>
          <w:sz w:val="20"/>
        </w:rPr>
        <w:t>读者：平台工程师、Agent 工程师、验证器工程师、SRE。决策口径以落实计划书为准，本手册只管"怎么搭、怎么跑、怎么验收"。</w:t>
      </w:r>
    </w:p>
    <w:p>
      <w:pPr>
        <w:pStyle w:val="Heading1"/>
      </w:pPr>
      <w:r>
        <w:t>1. 部署拓扑与环境</w:t>
      </w:r>
    </w:p>
    <w:p>
      <w:pPr>
        <w:pStyle w:val="Heading2"/>
      </w:pPr>
      <w:r>
        <w:t>1.1 环境矩阵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环境</w:t>
            </w:r>
          </w:p>
        </w:tc>
        <w:tc>
          <w:tcPr>
            <w:tcW w:type="dxa" w:w="2296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2296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形态</w:t>
            </w:r>
          </w:p>
        </w:tc>
        <w:tc>
          <w:tcPr>
            <w:tcW w:type="dxa" w:w="2296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数据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dev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日常开发、单组件调试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本机 Docker Compose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合成数据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ci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流水线自动化验证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临时容器，按次销毁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合成数据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staging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全链集成、虚拟调试验收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工程区服务器 + 虚拟 PLC（PLCSIM/TwinCAT 仿真）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脱敏样本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prod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真实项目执行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工程区（云端编排）+ 现场边缘节点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真实，加密存证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edge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现场离线任务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边缘节点，可断网运行，回连后同步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现场数据只读</w:t>
            </w:r>
          </w:p>
        </w:tc>
      </w:tr>
    </w:tbl>
    <w:p>
      <w:pPr>
        <w:spacing w:after="40"/>
      </w:pPr>
    </w:p>
    <w:p>
      <w:pPr>
        <w:pStyle w:val="Heading2"/>
      </w:pPr>
      <w:r>
        <w:t>1.2 网络分区（对应 IEC 62443）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区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访问规则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办公网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仅允许访问门户与审批面板（HTTPS）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工程区（dev/ci/staging/prod 服务）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Agent 平台所在地；出站仅白名单（模型 API、组件许可服务器）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生产网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Agent 只读（OPC UA 订阅）；写入必须经闸门审批；无默认路由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边缘节点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断网可运行；与工程区通过 VPN/专线按需同步</w:t>
            </w:r>
          </w:p>
        </w:tc>
      </w:tr>
    </w:tbl>
    <w:p>
      <w:pPr>
        <w:spacing w:after="40"/>
      </w:pPr>
    </w:p>
    <w:p>
      <w:pPr>
        <w:pStyle w:val="Heading2"/>
      </w:pPr>
      <w:r>
        <w:t>1.3 基础设施清单（最小可用规模）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资源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规格建议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工程区服务器 ×2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32C/128G + 1TB NVMe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编排器、验证器、仿真、数据库（主备）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GPU 节点 ×1（可选）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24G 显存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本地模型/微调；否则全走 API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边缘节点 ×2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16C/32G 工业级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现场执行、断网缓存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备份存储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对象存储异地副本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RPO≤24h、RTO≤4h（示例目标）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Windows 工程机 ×2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带 TIA Portal/EPLAN/仿真许可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PLC/E-CAD 适配器宿主机（TIA Openness 仅 Windows）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许可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TIA Portal Openness、CODESYS、EPLAN API、仿真平台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按供应商清单采购</w:t>
            </w:r>
          </w:p>
        </w:tc>
      </w:tr>
    </w:tbl>
    <w:p>
      <w:pPr>
        <w:spacing w:after="40"/>
      </w:pPr>
    </w:p>
    <w:p>
      <w:pPr>
        <w:pStyle w:val="Heading1"/>
      </w:pPr>
      <w:r>
        <w:t>2. 技术栈与版本基线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选型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基线版本（示例）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编排器/网关/门户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TypeScript（Node ≥22）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Node 22 LTS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Agent 服务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Python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3.12+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工具协议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MCP（自研工程工具适配器按 MCP server 封装）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按规范锁定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资产版本库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Git（Gitea/GitLab 自托管）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每项目一仓库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关系库（追溯/闸门/审计）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PostgreSQL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17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对象存储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MinIO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最新稳定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向量库（RAG）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pgvector（随 PostgreSQL）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0.8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时序库（运行数据）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VictoriaMetrics 或 InfluxDB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按选型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密钥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HashiCorp Vault（或等价）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编排部署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Docker Compose（起步）→ K8s（规模化）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IaC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Ansible（机器初始化）+ Terraform（如用云）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监控告警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Prometheus + Grafana + Alertmanager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代码仓库与模块清单（monorepo 建议）</w:t>
      </w:r>
    </w:p>
    <w:p>
      <w:r>
        <w:rPr>
          <w:rFonts w:ascii="Consolas" w:hAnsi="Consolas" w:eastAsia="微软雅黑"/>
        </w:rPr>
        <w:t>`</w:t>
      </w:r>
    </w:p>
    <w:p>
      <w:r>
        <w:t>platform/</w:t>
      </w:r>
    </w:p>
    <w:p>
      <w:r>
        <w:t>├── orchestration/          # 编排器：DAG 状态机、闸门引擎、失败升级（§3.10/§4）</w:t>
      </w:r>
    </w:p>
    <w:p>
      <w:r>
        <w:t>├── agents/</w:t>
      </w:r>
    </w:p>
    <w:p>
      <w:r>
        <w:t>│   ├── requirements/       # 需求 Agent（§3.1）</w:t>
      </w:r>
    </w:p>
    <w:p>
      <w:r>
        <w:t>│   ├── design/             # 方案设计 Agent（§3.2）</w:t>
      </w:r>
    </w:p>
    <w:p>
      <w:r>
        <w:t>│   ├── electrical/         # 电气 Agent（§3.3）</w:t>
      </w:r>
    </w:p>
    <w:p>
      <w:r>
        <w:t>│   ├── plc/                # 控制程序 Agent（§3.4）</w:t>
      </w:r>
    </w:p>
    <w:p>
      <w:r>
        <w:t>│   ├── hmi/                # HMI/SCADA Agent（§3.5）</w:t>
      </w:r>
    </w:p>
    <w:p>
      <w:r>
        <w:t>│   ├── simulation/         # 仿真验证 Agent（§3.6，含 SemaPLC 行为验证模块）</w:t>
      </w:r>
    </w:p>
    <w:p>
      <w:r>
        <w:t>│   ├── docs/               # 文档合规 Agent（§3.7）</w:t>
      </w:r>
    </w:p>
    <w:p>
      <w:r>
        <w:t>│   ├── site/               # 现场实施 Agent（§3.8）</w:t>
      </w:r>
    </w:p>
    <w:p>
      <w:r>
        <w:t>│   └── ops/                # 运维 Agent（§3.9）</w:t>
      </w:r>
    </w:p>
    <w:p>
      <w:r>
        <w:t>├── verifiers/              # 裁决层（自持）：plc-compile、lint、ecad-check、</w:t>
      </w:r>
    </w:p>
    <w:p>
      <w:r>
        <w:t>│                           # sim-check、standard-check、formal(nuXmv/PLCverif)</w:t>
      </w:r>
    </w:p>
    <w:p>
      <w:r>
        <w:t>├── adapters/               # 供应商适配层（每供应商一包，三接口契约）</w:t>
      </w:r>
    </w:p>
    <w:p>
      <w:r>
        <w:t>│   ├── tia-openness/  codesys/  twinchat/  eplan/  simit/</w:t>
      </w:r>
    </w:p>
    <w:p>
      <w:r>
        <w:t>│   ├── factoryio/  semaplc/  agents4plc/  eigen/  llm-gateway/</w:t>
      </w:r>
    </w:p>
    <w:p>
      <w:r>
        <w:t>├── bus/                    # MCP 总线与统一鉴权、限权、审计</w:t>
      </w:r>
    </w:p>
    <w:p>
      <w:r>
        <w:t>├── trace/                  # 追溯服务（事件 schema、图存储、影响分析）</w:t>
      </w:r>
    </w:p>
    <w:p>
      <w:r>
        <w:t>├── knowledge/              # 标准/模板/案例库 + 学习管线（初筛/去重）</w:t>
      </w:r>
    </w:p>
    <w:p>
      <w:r>
        <w:t>├── gate/                   # 闸门与审批（门户 API、人工队列）</w:t>
      </w:r>
    </w:p>
    <w:p>
      <w:r>
        <w:t>├── ops/                    # IaC、监控、备份、runbook、演练脚本</w:t>
      </w:r>
    </w:p>
    <w:p>
      <w:r>
        <w:t>└── docs/                   # 契约、手册（本文件）</w:t>
      </w:r>
    </w:p>
    <w:p>
      <w:r>
        <w:rPr>
          <w:rFonts w:ascii="Consolas" w:hAnsi="Consolas" w:eastAsia="微软雅黑"/>
        </w:rPr>
        <w:t>`</w:t>
      </w:r>
    </w:p>
    <w:p>
      <w:pPr>
        <w:pStyle w:val="Heading1"/>
      </w:pPr>
      <w:r>
        <w:t>4. 关键接口契约（先行冻结）</w:t>
      </w:r>
    </w:p>
    <w:p>
      <w:pPr>
        <w:ind w:left="510" w:hanging="283"/>
      </w:pPr>
      <w:r>
        <w:t xml:space="preserve">1. </w:t>
      </w:r>
      <w:r>
        <w:rPr>
          <w:b/>
        </w:rPr>
        <w:t>Agent 产出契约</w:t>
      </w:r>
      <w:r>
        <w:t>：所有 Agent 输出统一信封——</w:t>
      </w:r>
      <w:r>
        <w:rPr>
          <w:rFonts w:ascii="Consolas" w:hAnsi="Consolas" w:eastAsia="微软雅黑"/>
        </w:rPr>
        <w:t>{ task_id, agent, model_version, prompt_version, output: {structured | artifact_paths}, evidence[], timestamp }</w:t>
      </w:r>
      <w:r>
        <w:t>；结构化元数据过 JSON Schema（对应架构 §7.1）。</w:t>
      </w:r>
    </w:p>
    <w:p>
      <w:pPr>
        <w:ind w:left="510" w:hanging="283"/>
      </w:pPr>
      <w:r>
        <w:t xml:space="preserve">2. </w:t>
      </w:r>
      <w:r>
        <w:rPr>
          <w:b/>
        </w:rPr>
        <w:t>验证器契约</w:t>
      </w:r>
      <w:r>
        <w:t>：</w:t>
      </w:r>
      <w:r>
        <w:rPr>
          <w:rFonts w:ascii="Consolas" w:hAnsi="Consolas" w:eastAsia="微软雅黑"/>
        </w:rPr>
        <w:t>verify(kind, artifact_path, options) → { pass, evidence[], diagnostics[] }</w:t>
      </w:r>
      <w:r>
        <w:t>；验证器只读产物、不写业务库、输出全证据。</w:t>
      </w:r>
    </w:p>
    <w:p>
      <w:pPr>
        <w:ind w:left="510" w:hanging="283"/>
      </w:pPr>
      <w:r>
        <w:t xml:space="preserve">3. </w:t>
      </w:r>
      <w:r>
        <w:rPr>
          <w:b/>
        </w:rPr>
        <w:t>适配器三接口</w:t>
      </w:r>
      <w:r>
        <w:t>：</w:t>
      </w:r>
      <w:r>
        <w:rPr>
          <w:rFonts w:ascii="Consolas" w:hAnsi="Consolas" w:eastAsia="微软雅黑"/>
        </w:rPr>
        <w:t>import_project(src) / export_asset(asset) / run_check(check_spec)</w:t>
      </w:r>
      <w:r>
        <w:t>；适配器禁止持有审批权限。</w:t>
      </w:r>
    </w:p>
    <w:p>
      <w:pPr>
        <w:ind w:left="510" w:hanging="283"/>
      </w:pPr>
      <w:r>
        <w:t xml:space="preserve">4. </w:t>
      </w:r>
      <w:r>
        <w:rPr>
          <w:b/>
        </w:rPr>
        <w:t>追溯事件</w:t>
      </w:r>
      <w:r>
        <w:t>：需求/设计/实现/测试/变更五类节点，边为可追溯关系；事件不可变，append-only。</w:t>
      </w:r>
    </w:p>
    <w:p>
      <w:pPr>
        <w:ind w:left="510" w:hanging="283"/>
      </w:pPr>
      <w:r>
        <w:t xml:space="preserve">5. </w:t>
      </w:r>
      <w:r>
        <w:rPr>
          <w:b/>
        </w:rPr>
        <w:t>闸门 API</w:t>
      </w:r>
      <w:r>
        <w:t>：</w:t>
      </w:r>
      <w:r>
        <w:rPr>
          <w:rFonts w:ascii="Consolas" w:hAnsi="Consolas" w:eastAsia="微软雅黑"/>
        </w:rPr>
        <w:t>request_gate(gate_id, context) → approval_payload</w:t>
      </w:r>
      <w:r>
        <w:t>；放行结果只能来自人类裁决或规则引擎，Agent 身份不可调用放行。</w:t>
      </w:r>
    </w:p>
    <w:p>
      <w:pPr>
        <w:pStyle w:val="Heading1"/>
      </w:pPr>
      <w:r>
        <w:t>5. 工程任务分解（Sprint 级）</w:t>
      </w:r>
    </w:p>
    <w:p>
      <w:pPr>
        <w:pStyle w:val="Heading2"/>
      </w:pPr>
      <w:r>
        <w:t>阶段一（S1–S8，每 Sprint 2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验收（对应落实计划书里程碑）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脚手架：monorepo、Docker Compose、CI、资产仓库、追溯库 schema、审计日志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全组件可启动；事件可写入可查询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S2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需求解析 Agent v0 + 需求矩阵 schema + 澄清问题生成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5 份历史协议抽样：条目提取召回 ≥90%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S3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PLC 程序生成 Agent + TIA Openness 适配器（import/export/compile）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模板库外项目也能生成工程文件并导入编译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S4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编译/Lint 验证器 + 内环（诊断→修复→重验，≤3 次）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M1：基准集首生成编译 ≥80%，修复后 ≥95%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S5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Agents4PLC 基准集接入 + 指标看板（Prometheus/Grafana）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基准可一键重跑；指标入看板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S6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Eigen 试用部署 + RealPLC 闭环对照部署（双路）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M2：对照报告（质量/成本/锁定度）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S7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知识库种子入库（模板 ≥20、检查清单 ≥5、案例 ≥10）+ RAG 接通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检索命中率监控上线；低命中显式标示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S8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阶段一验收：集成测试 + Go/No-Go 材料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阶段一验收条件全绿</w:t>
            </w:r>
          </w:p>
        </w:tc>
      </w:tr>
    </w:tbl>
    <w:p>
      <w:pPr>
        <w:spacing w:after="40"/>
      </w:pPr>
    </w:p>
    <w:p>
      <w:pPr>
        <w:pStyle w:val="Heading2"/>
      </w:pPr>
      <w:r>
        <w:t>阶段二（S9–S16）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验收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S9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E-CAD 适配器（EPLAN API）+ 电气 Agent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E-CAD 规则检查通过样例项目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S10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仿真适配器（PLCSIM/SIMIT/Factory IO 多通道）+ 仿真 Agent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虚拟调试用例自动生成并执行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S11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SemaPLC 行为验证模块集成（强制输入 + 变量轨迹）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行为验证证据进入仿真报告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S12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HMI/SCADA 适配器 + 组态 Agent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组态导入编译、变量引用完整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S13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闸门引擎 + 审批门户 + 人工任务队列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6 项强制闸门可配置不可绕过（A1）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S14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全链路追溯 + 变更影响分析（图遍历，三级影响）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M3：首个追溯覆盖率 100% 项目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S15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双 Agent 评审 + 模型/提示词版本治理（回归流水线）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模型升级触发回归并可冻结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S16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阶段二验收：端到端样例项目 + 冷启动入库达标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M4：缺陷密度较基线 -30%、工时 -30%</w:t>
            </w:r>
          </w:p>
        </w:tc>
      </w:tr>
    </w:tbl>
    <w:p>
      <w:pPr>
        <w:spacing w:after="40"/>
      </w:pPr>
    </w:p>
    <w:p>
      <w:pPr>
        <w:pStyle w:val="Heading2"/>
      </w:pPr>
      <w:r>
        <w:t>阶段三（S17–S22）/ 阶段四（S23 起）</w:t>
      </w:r>
    </w:p>
    <w:p>
      <w:pPr>
        <w:ind w:left="510" w:hanging="283"/>
      </w:pPr>
      <w:r>
        <w:t>• 阶段三：规则化闸门引擎（A2 放行规则）、审计导出包、供应商 SLA 与版本冻结、LLM 主备切换演练（M5–M6）。</w:t>
      </w:r>
    </w:p>
    <w:p>
      <w:pPr>
        <w:ind w:left="510" w:hanging="283"/>
      </w:pPr>
      <w:r>
        <w:t>• 阶段四：运维 Agent + OPC UA 只读接入 + 时序库、学习管线常态化、行业模板扩展（M7–M8）。</w:t>
      </w:r>
    </w:p>
    <w:p>
      <w:pPr>
        <w:pStyle w:val="Heading1"/>
      </w:pPr>
      <w:r>
        <w:t>6. CI/CD 与测试策略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层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频率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单元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verifiers 判例集、adapters 契约 mock、agents 纯逻辑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每次提交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集成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契约测试：Agent→验证器→追溯→闸门链路（合成数据）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每日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端到端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staging 虚拟 PLC 环境跑样例项目全流程（需求→仿真）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每 Sprint 末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回归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Agents4PLC 基准集 + 自有回归集 + 已交付项目关键产物重编译/重仿真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组件/模型升级时强制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演练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供应商切换（≤1 工作日恢复）、备份恢复（季度）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按计划</w:t>
            </w:r>
          </w:p>
        </w:tc>
      </w:tr>
    </w:tbl>
    <w:p>
      <w:pPr>
        <w:spacing w:after="40"/>
      </w:pPr>
    </w:p>
    <w:p>
      <w:r>
        <w:t>发布门禁：CI 全绿 + 回归不劣化 + 变更单（含闸门/提示词变更审批记录）。任何发布必须可回滚：资产回滚走 Git revert，组件回滚走版本冻结清单，模型回滚走主备切换。</w:t>
      </w:r>
    </w:p>
    <w:p>
      <w:pPr>
        <w:pStyle w:val="Heading1"/>
      </w:pPr>
      <w:r>
        <w:t>7. 安全加固清单</w:t>
      </w:r>
    </w:p>
    <w:p>
      <w:pPr>
        <w:ind w:left="510" w:hanging="283"/>
      </w:pPr>
      <w:r>
        <w:t>• [ ] 最小权限账号：Agent 按域分配（工程区读写/生产网只读/在线写入需审批）</w:t>
      </w:r>
    </w:p>
    <w:p>
      <w:pPr>
        <w:ind w:left="510" w:hanging="283"/>
      </w:pPr>
      <w:r>
        <w:t>• [ ] 密钥全部入 Vault，禁止落盘明文；TIA/CODESYS/模型 API 凭据轮换 ≤90 天</w:t>
      </w:r>
    </w:p>
    <w:p>
      <w:pPr>
        <w:ind w:left="510" w:hanging="283"/>
      </w:pPr>
      <w:r>
        <w:t>• [ ] 全量决策日志加密存证（输入/输出/验证/闸门/人工介入），支持按项目导出审计包</w:t>
      </w:r>
    </w:p>
    <w:p>
      <w:pPr>
        <w:ind w:left="510" w:hanging="283"/>
      </w:pPr>
      <w:r>
        <w:t>• [ ] 跨项目知识检索脱敏；涉密项目全私有化部署、无外呼</w:t>
      </w:r>
    </w:p>
    <w:p>
      <w:pPr>
        <w:ind w:left="510" w:hanging="283"/>
      </w:pPr>
      <w:r>
        <w:t>• [ ] 边缘节点磁盘加密、防篡改引导；回连同步走双向认证</w:t>
      </w:r>
    </w:p>
    <w:p>
      <w:pPr>
        <w:ind w:left="510" w:hanging="283"/>
      </w:pPr>
      <w:r>
        <w:t>• [ ] 依赖与镜像漏洞扫描入 CI；上游组件版本升级先回归后上线</w:t>
      </w:r>
    </w:p>
    <w:p>
      <w:pPr>
        <w:pStyle w:val="Heading1"/>
      </w:pPr>
      <w:r>
        <w:t>8. 运维 Runbook（常见故障）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故障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PLC 编译失败且内环耗尽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升级包自动生成（上下文+证据+诊断），闸门裁决；禁止静默跳过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仿真超时/模型不收敛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缩短用例集重跑定位；保留失败证据；标记行为模型待校准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模型 API 不可用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自动切备用供应商；关键验证器本地化不受影响（架构 §5.5）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供应商组件 API 变更/停服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冻结版本回退 + 触发替换预案（适配层换源，Agent 不动）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闸门队列积压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告警阈值（&gt;4h 未裁决）→ 通知监督者；不自动放行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追溯库写入失败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编排器任务暂停并持久化待写队列；禁止无追溯执行下游</w:t>
            </w:r>
          </w:p>
        </w:tc>
      </w:tr>
    </w:tbl>
    <w:p>
      <w:pPr>
        <w:spacing w:after="40"/>
      </w:pPr>
    </w:p>
    <w:p>
      <w:pPr>
        <w:pStyle w:val="Heading1"/>
      </w:pPr>
      <w:r>
        <w:t>9. 阶段 Go/No-Go 检查单（工程师侧）</w:t>
      </w:r>
    </w:p>
    <w:p>
      <w:pPr>
        <w:ind w:left="510" w:hanging="283"/>
      </w:pPr>
      <w:r>
        <w:t>• [ ] 上阶段验收指标全绿（数据来自看板，非手工报告）</w:t>
      </w:r>
    </w:p>
    <w:p>
      <w:pPr>
        <w:ind w:left="510" w:hanging="283"/>
      </w:pPr>
      <w:r>
        <w:t>• [ ] 回归集通过率 ≥90% 且较上版本不劣化</w:t>
      </w:r>
    </w:p>
    <w:p>
      <w:pPr>
        <w:ind w:left="510" w:hanging="283"/>
      </w:pPr>
      <w:r>
        <w:t>• [ ] 审计抽查：本阶段 100% 动作有日志、无未留痕介入</w:t>
      </w:r>
    </w:p>
    <w:p>
      <w:pPr>
        <w:ind w:left="510" w:hanging="283"/>
      </w:pPr>
      <w:r>
        <w:t>• [ ] 供应商切换演练/备份恢复演练完成并留档</w:t>
      </w:r>
    </w:p>
    <w:p>
      <w:pPr>
        <w:ind w:left="510" w:hanging="283"/>
      </w:pPr>
      <w:r>
        <w:t>• [ ] 安全加固清单逐项复核通过</w:t>
      </w:r>
    </w:p>
    <w:p>
      <w:pPr>
        <w:ind w:left="510" w:hanging="283"/>
      </w:pPr>
      <w:r>
        <w:t>• [ ] 本阶段新增资产已入库（模板/案例），RAG 命中率有监控</w:t>
      </w:r>
    </w:p>
    <w:p>
      <w:pPr>
        <w:pStyle w:val="Heading1"/>
      </w:pPr>
      <w:r>
        <w:t>10. 目录、端口与命名约定（示例）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8"/>
        <w:gridCol w:w="1148"/>
        <w:gridCol w:w="1148"/>
        <w:gridCol w:w="1148"/>
        <w:gridCol w:w="1148"/>
        <w:gridCol w:w="1148"/>
        <w:gridCol w:w="1148"/>
        <w:gridCol w:w="1148"/>
      </w:tblGrid>
      <w:tr>
        <w:tc>
          <w:tcPr>
            <w:tcW w:type="dxa" w:w="114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1148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约定</w:t>
            </w:r>
          </w:p>
        </w:tc>
        <w:tc>
          <w:tcPr>
            <w:tcW w:type="dxa" w:w="1148"/>
            <w:shd w:val="clear" w:fill="D9E2F3"/>
          </w:tcPr>
          <w:p>
            <w:pPr>
              <w:spacing w:after="40"/>
            </w:pPr>
          </w:p>
        </w:tc>
        <w:tc>
          <w:tcPr>
            <w:tcW w:type="dxa" w:w="1148"/>
            <w:shd w:val="clear" w:fill="D9E2F3"/>
          </w:tcPr>
          <w:p>
            <w:pPr>
              <w:spacing w:after="40"/>
            </w:pPr>
          </w:p>
        </w:tc>
        <w:tc>
          <w:tcPr>
            <w:tcW w:type="dxa" w:w="1148"/>
            <w:shd w:val="clear" w:fill="D9E2F3"/>
          </w:tcPr>
          <w:p>
            <w:pPr>
              <w:spacing w:after="40"/>
            </w:pPr>
          </w:p>
        </w:tc>
        <w:tc>
          <w:tcPr>
            <w:tcW w:type="dxa" w:w="1148"/>
            <w:shd w:val="clear" w:fill="D9E2F3"/>
          </w:tcPr>
          <w:p>
            <w:pPr>
              <w:spacing w:after="40"/>
            </w:pPr>
          </w:p>
        </w:tc>
        <w:tc>
          <w:tcPr>
            <w:tcW w:type="dxa" w:w="1148"/>
            <w:shd w:val="clear" w:fill="D9E2F3"/>
          </w:tcPr>
          <w:p>
            <w:pPr>
              <w:spacing w:after="40"/>
            </w:pPr>
          </w:p>
        </w:tc>
        <w:tc>
          <w:tcPr>
            <w:tcW w:type="dxa" w:w="1148"/>
            <w:shd w:val="clear" w:fill="D9E2F3"/>
          </w:tcPr>
          <w:p>
            <w:pPr>
              <w:spacing w:after="40"/>
            </w:pPr>
          </w:p>
        </w:tc>
      </w:tr>
      <w:tr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项目资产目录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`assets/&lt;project_id&gt;/&lt;req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design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elec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plc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hmi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docs&gt;/`</w:t>
            </w:r>
          </w:p>
        </w:tc>
      </w:tr>
      <w:tr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版本格式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rFonts w:ascii="Consolas" w:hAnsi="Consolas" w:eastAsia="微软雅黑"/>
                <w:sz w:val="19"/>
              </w:rPr>
              <w:t>&lt;component&gt;/&lt;semver&gt;</w:t>
            </w:r>
            <w:r>
              <w:rPr>
                <w:sz w:val="19"/>
              </w:rPr>
              <w:t>；提示词版本随组件仓库打 tag</w:t>
            </w: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</w:tr>
      <w:tr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事件 ID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rFonts w:ascii="Consolas" w:hAnsi="Consolas" w:eastAsia="微软雅黑"/>
                <w:sz w:val="19"/>
              </w:rPr>
              <w:t>&lt;project_id&gt;.&lt;node_type&gt;.&lt;seq&gt;</w:t>
            </w:r>
            <w:r>
              <w:rPr>
                <w:sz w:val="19"/>
              </w:rPr>
              <w:t>，全局唯一</w:t>
            </w: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</w:tr>
      <w:tr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端口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门户 8443、总线 5100、追溯 5432、时序 8428、监控 3000（仅内网）</w:t>
            </w: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</w:tr>
      <w:tr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命名</w:t>
            </w:r>
          </w:p>
        </w:tc>
        <w:tc>
          <w:tcPr>
            <w:tcW w:type="dxa" w:w="1148"/>
          </w:tcPr>
          <w:p>
            <w:pPr>
              <w:spacing w:after="40"/>
            </w:pPr>
            <w:r>
              <w:rPr>
                <w:sz w:val="19"/>
              </w:rPr>
              <w:t>变量/符号按 IEC 61131-3 与 GB/T 15969 检查清单执行，Lint 强制</w:t>
            </w: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  <w:tc>
          <w:tcPr>
            <w:tcW w:type="dxa" w:w="1148"/>
          </w:tcPr>
          <w:p>
            <w:pPr>
              <w:spacing w:after="40"/>
            </w:pPr>
          </w:p>
        </w:tc>
      </w:tr>
    </w:tbl>
    <w:p>
      <w:pPr>
        <w:spacing w:after="40"/>
      </w:pPr>
    </w:p>
    <w:p>
      <w:pPr>
        <w:pStyle w:val="Heading1"/>
      </w:pPr>
      <w:r>
        <w:t>附录：与落实计划书里程碑对照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里程碑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工程验收物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M1 基准集达标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verifiers/plc-compile 判例 + 基准看板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M2 双路对照报告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adapters/eigen、adapters/realplc 部署与数据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M3 首个追溯 100% 项目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trace 服务全链路事件 + 影响分析图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M4 缺陷密度 -30%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staging 端到端项目数据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M5 首个 A2 试点交付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gate 规则引擎 + 审计导出包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M6 供应商切换 ≤1 工作日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演练脚本与记录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M7 优化提案全闭环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ops 服务 + 时序数据证据链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M8 模板复用 ≥60%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knowledge 学习管线 + 命中率看板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5A9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5A9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