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落实计划书：v1.1 架构为蓝图、Eigen 等业界产品为"预装组件"的实施计划</w:t>
      </w:r>
    </w:p>
    <w:p>
      <w:pPr>
        <w:spacing w:after="80"/>
        <w:ind w:left="283"/>
      </w:pPr>
      <w:r>
        <w:rPr>
          <w:i/>
          <w:color w:val="595959"/>
          <w:sz w:val="20"/>
        </w:rPr>
        <w:t>版本：v1.0（草案，供立项评审）</w:t>
      </w:r>
    </w:p>
    <w:p>
      <w:pPr>
        <w:spacing w:after="80"/>
        <w:ind w:left="283"/>
      </w:pPr>
      <w:r>
        <w:rPr>
          <w:i/>
          <w:color w:val="595959"/>
          <w:sz w:val="20"/>
        </w:rPr>
        <w:t>关联文档：</w:t>
      </w:r>
      <w:r>
        <w:rPr>
          <w:rFonts w:ascii="Consolas" w:hAnsi="Consolas" w:eastAsia="微软雅黑"/>
          <w:i/>
          <w:color w:val="595959"/>
          <w:sz w:val="20"/>
        </w:rPr>
        <w:t>industrial-automation-ai-agent-closed-loop-architecture.md</w:t>
      </w:r>
      <w:r>
        <w:rPr>
          <w:i/>
          <w:color w:val="595959"/>
          <w:sz w:val="20"/>
        </w:rPr>
        <w:t>（v1.1 架构）、</w:t>
      </w:r>
      <w:r>
        <w:rPr>
          <w:rFonts w:ascii="Consolas" w:hAnsi="Consolas" w:eastAsia="微软雅黑"/>
          <w:i/>
          <w:color w:val="595959"/>
          <w:sz w:val="20"/>
        </w:rPr>
        <w:t>closed-loop-architecture-comparison.md</w:t>
      </w:r>
      <w:r>
        <w:rPr>
          <w:i/>
          <w:color w:val="595959"/>
          <w:sz w:val="20"/>
        </w:rPr>
        <w:t>（三方对比）</w:t>
      </w:r>
    </w:p>
    <w:p>
      <w:pPr>
        <w:spacing w:after="80"/>
        <w:ind w:left="283"/>
      </w:pPr>
      <w:r>
        <w:rPr>
          <w:i/>
          <w:color w:val="595959"/>
          <w:sz w:val="20"/>
        </w:rPr>
        <w:t>战略结论（本计划书的出发点）：论架构，v1.1 增强版最优；论产品，Eigen 今天领先；最优路径是把 Eigen 们当作 v1.1 的"预装组件供应商"，而不是替代品。</w:t>
      </w:r>
    </w:p>
    <w:p>
      <w:pPr>
        <w:pStyle w:val="Heading1"/>
      </w:pPr>
      <w:r>
        <w:t>执行摘要</w:t>
      </w:r>
    </w:p>
    <w:p>
      <w:r>
        <w:t>本计划书把"以 v1.1 为蓝图、以业界产品为组件"的战略落成一条可执行的路线：</w:t>
      </w:r>
      <w:r>
        <w:rPr>
          <w:b/>
        </w:rPr>
        <w:t>自研补全程、商用买时间、开源当备件、验证器自持</w:t>
      </w:r>
      <w:r>
        <w:t>。四个阶段（约 6–10 个季度）内，把西门子 Eigen、美的 SemaPLC、浙大 Agents4PLC、RealPLC 等按"供应商"角色纳入 v1.1 的分层架构，同时守住两条红线：</w:t>
      </w:r>
      <w:r>
        <w:rPr>
          <w:b/>
        </w:rPr>
        <w:t>任何供应商组件不得成为闸门或验证器的唯一依赖；所有工程资产保持文本化、可迁移，随时可替换供应商。</w:t>
      </w:r>
    </w:p>
    <w:p>
      <w:pPr>
        <w:pStyle w:val="Heading1"/>
      </w:pPr>
      <w:r>
        <w:t>1. 战略定位</w:t>
      </w:r>
    </w:p>
    <w:p>
      <w:pPr>
        <w:ind w:left="510" w:hanging="283"/>
      </w:pPr>
      <w:r>
        <w:t xml:space="preserve">1. </w:t>
      </w:r>
      <w:r>
        <w:rPr>
          <w:b/>
        </w:rPr>
        <w:t>蓝图归属</w:t>
      </w:r>
      <w:r>
        <w:t>：v1.1 架构（三闭环、六分层、A0–A3 分级、验证即门禁）是自研体系的目标形态，不向任何供应商让渡。</w:t>
      </w:r>
    </w:p>
    <w:p>
      <w:pPr>
        <w:ind w:left="510" w:hanging="283"/>
      </w:pPr>
      <w:r>
        <w:t xml:space="preserve">2. </w:t>
      </w:r>
      <w:r>
        <w:rPr>
          <w:b/>
        </w:rPr>
        <w:t>组件策略</w:t>
      </w:r>
      <w:r>
        <w:t>：业界产品按其覆盖环节，映射为 v1.1 中对应 Agent/验证器的"预装组件"——能用即买，缺了才造，坏了可换。</w:t>
      </w:r>
    </w:p>
    <w:p>
      <w:pPr>
        <w:ind w:left="510" w:hanging="283"/>
      </w:pPr>
      <w:r>
        <w:t xml:space="preserve">3. </w:t>
      </w:r>
      <w:r>
        <w:rPr>
          <w:b/>
        </w:rPr>
        <w:t>正确性自持</w:t>
      </w:r>
      <w:r>
        <w:t>：确定性验证器（编译/Lint/仿真/规范/形式化）是系统的裁决层，必须自研或开源自持，不外包给任何商用黑盒。</w:t>
      </w:r>
    </w:p>
    <w:p>
      <w:pPr>
        <w:ind w:left="510" w:hanging="283"/>
      </w:pPr>
      <w:r>
        <w:t xml:space="preserve">4. </w:t>
      </w:r>
      <w:r>
        <w:rPr>
          <w:b/>
        </w:rPr>
        <w:t>供应商中立</w:t>
      </w:r>
      <w:r>
        <w:t>：工程资产全部文本化/标准格式（IEC 61131-3 源码、结构化 IO 表、文档模板），经适配层进出各供应商工具，杜绝数据被绑死。</w:t>
      </w:r>
    </w:p>
    <w:p>
      <w:pPr>
        <w:pStyle w:val="Heading1"/>
      </w:pPr>
      <w:r>
        <w:t>2. 组件供应商清单与映射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供应商/组件</w:t>
            </w:r>
          </w:p>
        </w:tc>
        <w:tc>
          <w:tcPr>
            <w:tcW w:type="dxa" w:w="1837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映射到 v1.1 模块</w:t>
            </w:r>
          </w:p>
        </w:tc>
        <w:tc>
          <w:tcPr>
            <w:tcW w:type="dxa" w:w="1837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角色定位</w:t>
            </w:r>
          </w:p>
        </w:tc>
        <w:tc>
          <w:tcPr>
            <w:tcW w:type="dxa" w:w="1837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集成方式</w:t>
            </w:r>
          </w:p>
        </w:tc>
        <w:tc>
          <w:tcPr>
            <w:tcW w:type="dxa" w:w="1837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许可与风险提示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西门子 Eigen Engineering Agent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§3.4 控制程序生成、§3.5 HMI/SCADA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商用替代候选（限 TIA 生态项目）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与自研程序生成 Agent 同链路并行对照，择优切换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商业许可，绑定 TIA 生态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美的 SemaPLC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§3.6 仿真验证（行为验证）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开源组件直接复用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抽取"强制输入 + 变量轨迹追踪"行为验证模块入仿真 Agent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开源（MIT），自行维护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浙大 Agents4PLC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§7.2 验证引擎、§9 指标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基准与形式化验证来源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采用其 96 任务基准集作为验收集；引入 nuXmv/PLCverif 做高阶验证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学术开源，需工程化加固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RealPLC TIA Agent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§3.4 内环（SCL 编译诊断修复）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参考实现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复用其 TIA Openness 导入→编译→诊断→修复闭环链路设计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开源示例，需适配企业模板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CERN × 西门子 vPLC 研究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§7.3 云端编排+边缘执行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架构可行性证据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作为部署形态决策的参照，不直接采购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联合研究，非商用产品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通用 LLM 服务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§7.1 模型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模型供应商（多路冗余）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统一模型网关，主/备供应商切换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按数据合规选云/私有化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EPLAN 等 E-CAD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§3.3 电气设计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工具供应商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E-CAD API 适配器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商业许可，导出格式须开放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SIMIT / Factory IO / TwinCAT 仿真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§3.6 仿真平台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工具供应商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仿真适配器统一用例编排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商业许可，多平台并存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CODESYS Automation Interface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§3.4/§7.3 程序生成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第二厂商通道（防锁定）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与 TIA 通道同构的适配器</w:t>
            </w:r>
          </w:p>
        </w:tc>
        <w:tc>
          <w:tcPr>
            <w:tcW w:type="dxa" w:w="1837"/>
          </w:tcPr>
          <w:p>
            <w:pPr>
              <w:spacing w:after="40"/>
            </w:pPr>
            <w:r>
              <w:rPr>
                <w:sz w:val="19"/>
              </w:rPr>
              <w:t>商业许可，开源生态较好</w:t>
            </w:r>
          </w:p>
        </w:tc>
      </w:tr>
    </w:tbl>
    <w:p>
      <w:pPr>
        <w:spacing w:after="40"/>
      </w:pPr>
    </w:p>
    <w:p>
      <w:pPr>
        <w:pStyle w:val="Heading1"/>
      </w:pPr>
      <w:r>
        <w:t>3. 采购/自研决策原则</w:t>
      </w:r>
    </w:p>
    <w:p>
      <w:r>
        <w:rPr>
          <w:b/>
        </w:rPr>
        <w:t>组件准入五问</w:t>
      </w:r>
      <w:r>
        <w:t>（任一为"否"即不采购，改自研或换供应商）：</w:t>
      </w:r>
    </w:p>
    <w:p>
      <w:pPr>
        <w:ind w:left="510" w:hanging="283"/>
      </w:pPr>
      <w:r>
        <w:t>1. 接口能否被自动化调用（无人工点击环节）？</w:t>
      </w:r>
    </w:p>
    <w:p>
      <w:pPr>
        <w:ind w:left="510" w:hanging="283"/>
      </w:pPr>
      <w:r>
        <w:t>2. 产物能否导出为文本/标准格式并纳入我方版本库？</w:t>
      </w:r>
    </w:p>
    <w:p>
      <w:pPr>
        <w:ind w:left="510" w:hanging="283"/>
      </w:pPr>
      <w:r>
        <w:t>3. 数据是否本地可控、符合合规要求？</w:t>
      </w:r>
    </w:p>
    <w:p>
      <w:pPr>
        <w:ind w:left="510" w:hanging="283"/>
      </w:pPr>
      <w:r>
        <w:t>4. 许可是否允许多实例、自动化与审计？</w:t>
      </w:r>
    </w:p>
    <w:p>
      <w:pPr>
        <w:ind w:left="510" w:hanging="283"/>
      </w:pPr>
      <w:r>
        <w:t>5. 市场上是否存在开源替代或第二供应商？</w:t>
      </w:r>
    </w:p>
    <w:p>
      <w:r>
        <w:rPr>
          <w:b/>
        </w:rPr>
        <w:t>决策矩阵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情形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决策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组件覆盖环节成熟、接口开放、可替换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采购集成（Eigen 试用、仿真平台、E-CAD）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组件覆盖但黑盒、锁死、不可导出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不采购；自研 + 开放工具（如 RealPLC 路线）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组件仅覆盖片段、无闸门治理能力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采购片段 + 自研补齐治理（现状默认路径）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属于裁决层（验证器）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一律自研/开源自持，不外包</w:t>
            </w:r>
          </w:p>
        </w:tc>
      </w:tr>
    </w:tbl>
    <w:p>
      <w:pPr>
        <w:spacing w:after="40"/>
      </w:pPr>
    </w:p>
    <w:p>
      <w:pPr>
        <w:pStyle w:val="Heading1"/>
      </w:pPr>
      <w:r>
        <w:t>4. 集成架构（组件接入方式）</w:t>
      </w:r>
    </w:p>
    <w:p>
      <w:r>
        <w:rPr>
          <w:b/>
          <w:color w:val="595959"/>
          <w:sz w:val="18"/>
        </w:rPr>
        <w:t>【图：三闭环总览】（Mermaid 源码，可在支持 Mermaid 的编辑器中渲染）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>flowchart TB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自研层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O[编排器/闸门/审计]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A[9 个专业 Agent]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V[确定性验证器 自持]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适配层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M[MCP 能力总线]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AD1[Eigen/TIA 适配器]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AD2[SemaPLC 行为验证适配器]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AD3[Agents4PLC 基准/形式化适配器]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AD4[E-CAD/仿真适配器]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subgraph 供应商层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E[Eigen 商用]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SM[SemaPLC 开源]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AG[Agents4PLC 开源]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    T[E-CAD/仿真/LLM 服务]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end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O --&gt; A --&gt; V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A --&gt; M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M --&gt; AD1 --&gt; E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M --&gt; AD2 --&gt; SM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M --&gt; AD3 --&gt; AG</w:t>
      </w:r>
    </w:p>
    <w:p>
      <w:pPr>
        <w:spacing w:after="0"/>
        <w:shd w:val="clear" w:fill="F2F2F2"/>
      </w:pPr>
      <w:r>
        <w:rPr>
          <w:rFonts w:ascii="Consolas" w:hAnsi="Consolas" w:eastAsia="微软雅黑"/>
          <w:sz w:val="16"/>
        </w:rPr>
        <w:t xml:space="preserve">    M --&gt; AD4 --&gt; T</w:t>
      </w:r>
    </w:p>
    <w:p>
      <w:r>
        <w:t>要点：Agent 只面向适配层编程，不直接调用供应商 API；验证器独立于供应商组件运行；每个适配器实现"导入/导出/校验"三接口，替换供应商 = 换适配器，不改 Agent。</w:t>
      </w:r>
    </w:p>
    <w:p>
      <w:pPr>
        <w:pStyle w:val="Heading1"/>
      </w:pPr>
      <w:r>
        <w:t>5. 分阶段落实计划（示例节奏，自批准日起）</w:t>
      </w:r>
    </w:p>
    <w:p>
      <w:pPr>
        <w:pStyle w:val="Heading2"/>
      </w:pPr>
      <w:r>
        <w:t>阶段一（第 1–2 季度）：单点试点 + 组件并行对照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目标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控制程序生成单点跑通内环，完成 Eigen 对比评估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Eigen 试用采购/申请；部署 RealPLC 开源闭环作对照；引入 Agents4PLC 基准集建立验收集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自研任务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程序生成 Agent + TIA Openness/CODESYS 编译 Lint 验证器适配；工程资产版本库；需求解析试点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里程碑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M1：基准集首生成编译 ≥80%；M2：Eigen 与自研双路对照报告（质量/成本/锁定度）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验收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首次生成编译通过率 ≥80%、含内环修复后 ≥95%、Lint ≥90%（对应架构 §8.1）</w:t>
            </w:r>
          </w:p>
        </w:tc>
      </w:tr>
    </w:tbl>
    <w:p>
      <w:pPr>
        <w:spacing w:after="40"/>
      </w:pPr>
    </w:p>
    <w:p>
      <w:pPr>
        <w:pStyle w:val="Heading2"/>
      </w:pPr>
      <w:r>
        <w:t>阶段二（第 3–4 季度）：全链工具 + 闸门体系上线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目标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打通 E-CAD/仿真/HMI 全链，闸门与追溯库上线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集成 SemaPLC 行为验证模块入仿真 Agent；采购仿真平台许可；E-CAD 适配器开发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自研任务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闸门引擎、全链路追溯库、双 Agent 评审、变更影响分析（图遍历）、模型版本治理（§7.5）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里程碑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M3：虚拟调试用例自动生成并执行；M4：追溯覆盖率 100% 的首个完整项目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验收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虚拟调试缺陷密度较 3 年人工基线 -30%、现场调试工时 -30%（§8.2）</w:t>
            </w:r>
          </w:p>
        </w:tc>
      </w:tr>
    </w:tbl>
    <w:p>
      <w:pPr>
        <w:spacing w:after="40"/>
      </w:pPr>
    </w:p>
    <w:p>
      <w:pPr>
        <w:pStyle w:val="Heading2"/>
      </w:pPr>
      <w:r>
        <w:t>阶段三（第 5–8 季度）：受限全自动试点（A2）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目标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标准产线/成熟行业改造项目 A2 试点，规则化闸门自动放行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供应商 SLA 签订；组件版本冻结与回归测试流程上线；LLM 主/备供应商切换演练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自研任务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规则化闸门引擎、审计导出、知识库冷启动入库（模板 ≥20、案例 ≥30）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里程碑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M5：首个 A2 试点项目交付；M6：供应商切换演练 ≤1 工作日恢复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验收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闸门外人工介入 ≤2 次/项目、无 Agent 缺陷导致停机、审计无未留痕介入（§8.3）</w:t>
            </w:r>
          </w:p>
        </w:tc>
      </w:tr>
    </w:tbl>
    <w:p>
      <w:pPr>
        <w:spacing w:after="40"/>
      </w:pPr>
    </w:p>
    <w:p>
      <w:pPr>
        <w:pStyle w:val="Heading2"/>
      </w:pPr>
      <w:r>
        <w:t>阶段四（第 9 季度起）：学习型全自动闭环（A3）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目标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运行闭环接通、学习管线常态化、组件生态多云化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运维数据接入（OPC UA/时序库）；评估第二供应商/开源替代形成双通道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自研任务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运维 Agent、学习管线、行业模板扩展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里程碑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M7：首个优化提案全闭环（生成→仿真→审批→部署）；M8：模板复用率 ≥60%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验收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项目周期缩短 ≥40% 持续两季度、案例库季度增量达标（§8.4）</w:t>
            </w:r>
          </w:p>
        </w:tc>
      </w:tr>
    </w:tbl>
    <w:p>
      <w:pPr>
        <w:spacing w:after="40"/>
      </w:pPr>
    </w:p>
    <w:p>
      <w:pPr>
        <w:pStyle w:val="Heading1"/>
      </w:pPr>
      <w:r>
        <w:t>6. 组织与治理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人数（示例）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架构负责人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蓝图守门：供应商组件不得侵入闸门/验证器/资产格式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 工程组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2–3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 与适配器开发、提示词版本治理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验证器组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1–2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编译/Lint/仿真/形式化验证器自持与加固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知识治理工程师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模板/案例库冷启动与审核（抽检 ≥20%）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供应商管理（兼）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准入五问、SLA、版本冻结与回归、退出预案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闸门裁决人（资质工程师）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若干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SIL 终审、方案评审、验收签字（不可外包）</w:t>
            </w:r>
          </w:p>
        </w:tc>
      </w:tr>
    </w:tbl>
    <w:p>
      <w:pPr>
        <w:spacing w:after="40"/>
      </w:pPr>
    </w:p>
    <w:p>
      <w:r>
        <w:t>治理机制：组件准入走五问评审；组件版本升级先回归后上线（复用 §7.5 机制）；每阶段结束 Go/No-Go 评审；供应商中断演练每半年一次。</w:t>
      </w:r>
    </w:p>
    <w:p>
      <w:pPr>
        <w:pStyle w:val="Heading1"/>
      </w:pPr>
      <w:r>
        <w:t>7. 预算与资源（示例口径，立项前按企业实际重算）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估算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平台开发/集成（自研人力+适配器）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¥80–150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沿用架构 §8.5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组件采购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¥25–65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Eigen 试用/许可（询价）、仿真平台、E-CAD API、模型 API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工程软件许可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¥20–50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已有则不计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算力与基础设施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¥10–30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边缘节点 + 模型推理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培训与变革管理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¥5–15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工程师转型培训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合计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¥140–310 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回收期 1.5–2.5 年（10 项目/年）</w:t>
            </w:r>
          </w:p>
        </w:tc>
      </w:tr>
    </w:tbl>
    <w:p>
      <w:pPr>
        <w:spacing w:after="40"/>
      </w:pPr>
    </w:p>
    <w:p>
      <w:pPr>
        <w:pStyle w:val="Heading1"/>
      </w:pPr>
      <w:r>
        <w:t>8. 关键风险与对策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4592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对策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供应商锁定（Eigen/TIA 生态）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资产文本化 + 适配层隔离 + CODESYS 第二通道 + 开源替代（SemaPLC/RealPLC）常备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商用组件版本升级破坏已交付项目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版本冻结 + 升级前回归验证 + 主/备供应商切换演练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商用黑盒无法解释裁决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验证器自持，供应商组件只做生成、不做放行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数据出境与合规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涉密项目全私有化；跨项目检索脱敏；许可合同锁定数据条款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供应商停服/涨价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开源备件清单 + 资产可迁移性年检（迁移演练）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组件与自研职责推诿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责任边界写入合同与流程：生成责任归组件/Agent，放行责任归我方验证器与闸门</w:t>
            </w:r>
          </w:p>
        </w:tc>
      </w:tr>
    </w:tbl>
    <w:p>
      <w:pPr>
        <w:spacing w:after="40"/>
      </w:pPr>
    </w:p>
    <w:p>
      <w:pPr>
        <w:pStyle w:val="Heading1"/>
      </w:pPr>
      <w:r>
        <w:t>9. 里程碑与 KPI</w:t>
      </w:r>
    </w:p>
    <w:p>
      <w:r>
        <w:t>里程碑：M1–M8 见第 5 节（按季度评审一次）。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KPI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>
              <w:rPr>
                <w:b/>
                <w:sz w:val="19"/>
              </w:rPr>
              <w:t>目标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组件覆盖率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v1.1 模块中由外部组件承担的比例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阶段一 ≥20%，阶段二 ≥40%，封顶 60%（治理与裁决层永不外包）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锁定指数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任一供应商中断后恢复运转的时间/成本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≤1 工作日 / ≤2 人周（演练验证）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基准回归通过率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Agents4PLC 基准集 + 自有回归集通过率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≥90% 且不劣化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资产可迁移性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可导出为文本/标准格式的资产占比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架构 KPI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首次生成编译 ≥80%、修复后 ≥95%、缺陷密度 -30%、闸门外介入 ≤2 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同架构 §9</w:t>
            </w:r>
          </w:p>
        </w:tc>
      </w:tr>
    </w:tbl>
    <w:p>
      <w:pPr>
        <w:spacing w:after="40"/>
      </w:pPr>
    </w:p>
    <w:p>
      <w:pPr>
        <w:pStyle w:val="Heading1"/>
      </w:pPr>
      <w:r>
        <w:t>10. 决策点与退出机制</w:t>
      </w:r>
    </w:p>
    <w:p>
      <w:pPr>
        <w:ind w:left="510" w:hanging="283"/>
      </w:pPr>
      <w:r>
        <w:t xml:space="preserve">• </w:t>
      </w:r>
      <w:r>
        <w:rPr>
          <w:b/>
        </w:rPr>
        <w:t>Go/No-Go 评审</w:t>
      </w:r>
      <w:r>
        <w:t>：每阶段结束按 §5 验收条件评审；不达标不进入下一阶段。</w:t>
      </w:r>
    </w:p>
    <w:p>
      <w:pPr>
        <w:ind w:left="510" w:hanging="283"/>
      </w:pPr>
      <w:r>
        <w:t xml:space="preserve">• </w:t>
      </w:r>
      <w:r>
        <w:rPr>
          <w:b/>
        </w:rPr>
        <w:t>Eigen 决策点</w:t>
      </w:r>
      <w:r>
        <w:t>（阶段一末）：双路对照数据决定"采购集成 / 仅对标 / 弃用"，三者均有预案。</w:t>
      </w:r>
    </w:p>
    <w:p>
      <w:pPr>
        <w:ind w:left="510" w:hanging="283"/>
      </w:pPr>
      <w:r>
        <w:t xml:space="preserve">• </w:t>
      </w:r>
      <w:r>
        <w:rPr>
          <w:b/>
        </w:rPr>
        <w:t>组件替换预案</w:t>
      </w:r>
      <w:r>
        <w:t>：每个采购组件在准入时同步确定开源/自研替代路径；触发条件（停服、涨价超阈值、版本事故）写入供应商管理台账。</w:t>
      </w:r>
    </w:p>
    <w:p>
      <w:pPr>
        <w:ind w:left="510" w:hanging="283"/>
      </w:pPr>
      <w:r>
        <w:t xml:space="preserve">• </w:t>
      </w:r>
      <w:r>
        <w:rPr>
          <w:b/>
        </w:rPr>
        <w:t>整体降级</w:t>
      </w:r>
      <w:r>
        <w:t>：任何安全事故或重大质量事故即回退自动化等级并复盘（沿用架构 §8 铁律）。</w:t>
      </w:r>
    </w:p>
    <w:p>
      <w:pPr>
        <w:pStyle w:val="Heading1"/>
      </w:pPr>
      <w:r>
        <w:t>附录 A：供应商信息快照</w:t>
      </w:r>
    </w:p>
    <w:p>
      <w:pPr>
        <w:ind w:left="510" w:hanging="283"/>
      </w:pPr>
      <w:r>
        <w:t>• 西门子 Eigen Engineering Agent（2026 商用，WAIC SAIL 之星奖）：</w:t>
      </w:r>
      <w:hyperlink r:id="rId9">
        <w:r>
          <w:rPr>
            <w:rFonts w:eastAsia="微软雅黑"/>
            <w:color w:val="0563C1"/>
            <w:u w:val="single"/>
          </w:rPr>
          <w:t xml:space="preserve">官方发布</w:t>
        </w:r>
      </w:hyperlink>
      <w:r>
        <w:t>、</w:t>
      </w:r>
      <w:hyperlink r:id="rId10">
        <w:r>
          <w:rPr>
            <w:rFonts w:eastAsia="微软雅黑"/>
            <w:color w:val="0563C1"/>
            <w:u w:val="single"/>
          </w:rPr>
          <w:t xml:space="preserve">社区介绍</w:t>
        </w:r>
      </w:hyperlink>
    </w:p>
    <w:p>
      <w:pPr>
        <w:ind w:left="510" w:hanging="283"/>
      </w:pPr>
      <w:r>
        <w:t>• 美的 SemaPLC（开源 agentic IDE，MIT）：</w:t>
      </w:r>
      <w:hyperlink r:id="rId11">
        <w:r>
          <w:rPr>
            <w:rFonts w:eastAsia="微软雅黑"/>
            <w:color w:val="0563C1"/>
            <w:u w:val="single"/>
          </w:rPr>
          <w:t xml:space="preserve">GitHub</w:t>
        </w:r>
      </w:hyperlink>
    </w:p>
    <w:p>
      <w:pPr>
        <w:ind w:left="510" w:hanging="283"/>
      </w:pPr>
      <w:r>
        <w:t>• 浙大 Agents4PLC（arXiv:2410.14209，96 基准任务，形式化验证）：</w:t>
      </w:r>
      <w:hyperlink r:id="rId12">
        <w:r>
          <w:rPr>
            <w:rFonts w:eastAsia="微软雅黑"/>
            <w:color w:val="0563C1"/>
            <w:u w:val="single"/>
          </w:rPr>
          <w:t xml:space="preserve">论文</w:t>
        </w:r>
      </w:hyperlink>
      <w:r>
        <w:t>、</w:t>
      </w:r>
      <w:hyperlink r:id="rId13">
        <w:r>
          <w:rPr>
            <w:rFonts w:eastAsia="微软雅黑"/>
            <w:color w:val="0563C1"/>
            <w:u w:val="single"/>
          </w:rPr>
          <w:t xml:space="preserve">GitHub</w:t>
        </w:r>
      </w:hyperlink>
    </w:p>
    <w:p>
      <w:pPr>
        <w:ind w:left="510" w:hanging="283"/>
      </w:pPr>
      <w:r>
        <w:t>• RealPLC TIA Agent（TIA Openness 闭环参考实现）：</w:t>
      </w:r>
      <w:hyperlink r:id="rId14">
        <w:r>
          <w:rPr>
            <w:rFonts w:eastAsia="微软雅黑"/>
            <w:color w:val="0563C1"/>
            <w:u w:val="single"/>
          </w:rPr>
          <w:t xml:space="preserve">介绍</w:t>
        </w:r>
      </w:hyperlink>
      <w:r>
        <w:t>、</w:t>
      </w:r>
      <w:hyperlink r:id="rId15">
        <w:r>
          <w:rPr>
            <w:rFonts w:eastAsia="微软雅黑"/>
            <w:color w:val="0563C1"/>
            <w:u w:val="single"/>
          </w:rPr>
          <w:t xml:space="preserve">实践</w:t>
        </w:r>
      </w:hyperlink>
    </w:p>
    <w:p>
      <w:pPr>
        <w:ind w:left="510" w:hanging="283"/>
      </w:pPr>
      <w:r>
        <w:t>• CERN openlab × 西门子 vPLC 联合研究（非商用）：</w:t>
      </w:r>
      <w:hyperlink r:id="rId16">
        <w:r>
          <w:rPr>
            <w:rFonts w:eastAsia="微软雅黑"/>
            <w:color w:val="0563C1"/>
            <w:u w:val="single"/>
          </w:rPr>
          <w:t xml:space="preserve">活动资料</w:t>
        </w:r>
      </w:hyperlink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A9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5A9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mation.com/article/siemens-eigen-engineering-agent-purpose-built-ai-industrial-automation-engineering" TargetMode="External"/><Relationship Id="rId10" Type="http://schemas.openxmlformats.org/officeDocument/2006/relationships/hyperlink" Target="https://community.xcelerator.siemens.com/public/blogs/meet-eigen-the-ai-agent-that-actually-knows-your-tia-project-2026-05-04" TargetMode="External"/><Relationship Id="rId11" Type="http://schemas.openxmlformats.org/officeDocument/2006/relationships/hyperlink" Target="https://github.com/midea-ai/SemaPLC" TargetMode="External"/><Relationship Id="rId12" Type="http://schemas.openxmlformats.org/officeDocument/2006/relationships/hyperlink" Target="https://huggingface.co/papers/2410.14209" TargetMode="External"/><Relationship Id="rId13" Type="http://schemas.openxmlformats.org/officeDocument/2006/relationships/hyperlink" Target="https://github.com/Luoji-zju/Agents4PLC_release" TargetMode="External"/><Relationship Id="rId14" Type="http://schemas.openxmlformats.org/officeDocument/2006/relationships/hyperlink" Target="https://cloud.tencent.com.cn/developer/article/2705392?policyId=1003#1" TargetMode="External"/><Relationship Id="rId15" Type="http://schemas.openxmlformats.org/officeDocument/2006/relationships/hyperlink" Target="https://cloud.tencent.com.cn/developer/article/2709090?policyId=1004" TargetMode="External"/><Relationship Id="rId16" Type="http://schemas.openxmlformats.org/officeDocument/2006/relationships/hyperlink" Target="https://openlab.cern/siemens-industrial-edge-cloud-and-ai-based-ag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