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134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文档审阅报告</w:t>
      </w:r>
    </w:p>
    <w:p w14:paraId="583550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6"/>
          <w:bottom w:val="single" w:color="auto" w:sz="2" w:space="0"/>
          <w:right w:val="single" w:color="auto" w:sz="2" w:space="6"/>
        </w:pBdr>
        <w:shd w:val="clear" w:fill="FFFFFF"/>
        <w:spacing w:before="0" w:beforeAutospacing="0" w:after="0" w:afterAutospacing="0" w:line="195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审阅对象：《工业自动化生产系统工程落地之全程 AI Agent 全自动自主闭环设计架构》v1.0</w:t>
      </w:r>
      <w:bookmarkStart w:id="0" w:name="_GoBack"/>
      <w:bookmarkEnd w:id="0"/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审阅方式：逐节内容审查 + 附录引用链接实际验证</w:t>
      </w:r>
    </w:p>
    <w:p w14:paraId="0EC326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i w:val="0"/>
          <w:iCs w:val="0"/>
          <w:caps w:val="0"/>
          <w:color w:val="000000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4A8C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一、总体评价</w:t>
      </w:r>
    </w:p>
    <w:p w14:paraId="3BA1CA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4BD14092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6943C12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023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1470"/>
        <w:gridCol w:w="7102"/>
      </w:tblGrid>
      <w:tr w14:paraId="3A351B4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508F1F6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EC5867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B28B1E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说明</w:t>
            </w:r>
          </w:p>
        </w:tc>
      </w:tr>
      <w:tr w14:paraId="6DE00EE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97E25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架构正确性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98902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20AED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分层合理、职责清晰、无原则性错误</w:t>
            </w:r>
          </w:p>
        </w:tc>
      </w:tr>
      <w:tr w14:paraId="406BED7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E2B06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工程可落地性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9932D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8D53B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远超同类"愿景文档"，但仍有实施细节缺口</w:t>
            </w:r>
          </w:p>
        </w:tc>
      </w:tr>
      <w:tr w14:paraId="1C18F5B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4D3F05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安全与治理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3AF3D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8227E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"验证即门禁"+"模型只管生成，系统负责正确性"是全文最核心的正确设计</w:t>
            </w:r>
          </w:p>
        </w:tc>
      </w:tr>
      <w:tr w14:paraId="4D3F165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AC264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务实程度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ABE6EC5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A1C6AC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明确排除SIL3+、特种设备、强物理交互，不画大饼</w:t>
            </w:r>
          </w:p>
        </w:tc>
      </w:tr>
      <w:tr w14:paraId="3904DF3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6F5F1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全面性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3484C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CE08F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存在若干关键缺口（详见第三节）</w:t>
            </w:r>
          </w:p>
        </w:tc>
      </w:tr>
      <w:tr w14:paraId="5A7DF60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7A0A2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引用准确性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4B362E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D1979A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附录B经验证基本准确，个别需补充</w:t>
            </w:r>
          </w:p>
        </w:tc>
      </w:tr>
    </w:tbl>
    <w:p w14:paraId="230059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6"/>
          <w:bottom w:val="single" w:color="auto" w:sz="2" w:space="0"/>
          <w:right w:val="single" w:color="auto" w:sz="2" w:space="6"/>
        </w:pBdr>
        <w:shd w:val="clear" w:fill="FFFFFF"/>
        <w:spacing w:before="0" w:beforeAutospacing="0" w:after="0" w:afterAutospacing="0" w:line="195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一句话结论：这是一份高质量的工程设计文档，核心理念（验证即门禁、模型生成/系统裁决/人类把关）完全正确，架构分层合理，落地路径务实。主要改进方向是补充实施层面的操作细节和若干缺失章节。</w:t>
      </w:r>
    </w:p>
    <w:p w14:paraId="5EA16F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i w:val="0"/>
          <w:iCs w:val="0"/>
          <w:caps w:val="0"/>
          <w:color w:val="000000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BC0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二、正确性审查（逐节）</w:t>
      </w:r>
    </w:p>
    <w:p w14:paraId="3FB6FE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✅ 完全正确且质量突出的部分</w:t>
      </w:r>
    </w:p>
    <w:p w14:paraId="31E441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488FCBF6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4E66E98C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5"/>
        <w:gridCol w:w="7305"/>
      </w:tblGrid>
      <w:tr w14:paraId="182331C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840F2AB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章节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41DDB5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评价</w:t>
            </w:r>
          </w:p>
        </w:tc>
      </w:tr>
      <w:tr w14:paraId="3083732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D36FB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§1.3 设计原则（7条）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B22BE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全文精华。特别是"验证即门禁"、"模型只管生成，系统负责正确性"、"失败要响亮"三条，精准把握了工业AI落地的核心矛盾</w:t>
            </w:r>
          </w:p>
        </w:tc>
      </w:tr>
      <w:tr w14:paraId="4102020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27F1F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§2.3 可执行验证门禁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9C1D43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按专业域分验证器，且明确"双Agent交叉评审仅作辅助证据，不替代确定性验证器"——这一判断完全正确</w:t>
            </w:r>
          </w:p>
        </w:tc>
      </w:tr>
      <w:tr w14:paraId="117989D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7ECB5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§4.1 内闭环（重试3次）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AE35FF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合理的工程约束，避免无限循环</w:t>
            </w:r>
          </w:p>
        </w:tc>
      </w:tr>
      <w:tr w14:paraId="48AA2F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12016D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§5.1 自动化水平分级（A0-A3）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2A5B2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渐进式设计正确，且"危险操作在任何等级下都是人工闸门，不随等级放开"是安全底线</w:t>
            </w:r>
          </w:p>
        </w:tc>
      </w:tr>
      <w:tr w14:paraId="5794656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3B092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§5.2 强制人工闸门清单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D41711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6项闸门覆盖了关键风险点，不可配置移除的设计正确</w:t>
            </w:r>
          </w:p>
        </w:tc>
      </w:tr>
      <w:tr w14:paraId="7C6B97D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18C0C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§7.2 "不具备自动化接口的验证环节暂缓纳入，宁可人工也不可假自动"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55B80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极其务实的判断</w:t>
            </w:r>
          </w:p>
        </w:tc>
      </w:tr>
      <w:tr w14:paraId="01248DB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129C9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§8 落地路径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8E35C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"先单点后全链、先离线后在线、先低风险后高风险"顺序正确</w:t>
            </w:r>
          </w:p>
        </w:tc>
      </w:tr>
      <w:tr w14:paraId="4F631F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AFEBBC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§10 风险与对策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FA18F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覆盖了主要风险，对策可行</w:t>
            </w:r>
          </w:p>
        </w:tc>
      </w:tr>
    </w:tbl>
    <w:p w14:paraId="2541B50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⚠️ 需修正或补充的细节</w:t>
      </w:r>
    </w:p>
    <w:p w14:paraId="71392D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36DB5CB9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5426DE8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"/>
        <w:gridCol w:w="1713"/>
        <w:gridCol w:w="5938"/>
        <w:gridCol w:w="3793"/>
      </w:tblGrid>
      <w:tr w14:paraId="1A0447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320BE7F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815F11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D973974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906F4F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建议修正</w:t>
            </w:r>
          </w:p>
        </w:tc>
      </w:tr>
      <w:tr w14:paraId="5DD3AA0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CB054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1E99B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§2.3 表格"安全"行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A7CC3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"标准符合性清单（IEC 61511/ISO 13849 相关条款初查）"——未提及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IEC 62061（机械安全电气/电子/可编程电子相关安全相关控制系统）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06825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补充 IEC 62061，与 §5.3 保持一致</w:t>
            </w:r>
          </w:p>
        </w:tc>
      </w:tr>
      <w:tr w14:paraId="736C431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352289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16FC61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§3.4 控制程序生成Agent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5615FE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"此Agent是业界验证最成熟的环节"——表述过于绝对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3CF320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改为"此Agent是当前业界验证案例最多、工具链最成熟的环节"</w:t>
            </w:r>
          </w:p>
        </w:tc>
      </w:tr>
      <w:tr w14:paraId="5EC247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FE9D9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28D5C5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§7.1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C103D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"结构化输出：所有Agent输出强制JSON Schema校验"——并非所有输出都适合JSON（如ST代码、E-CAD图纸）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75D70D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改为"结构化元数据强制JSON Schema校验；代码/图纸类产物以文件形式输出，由对应验证器裁决"</w:t>
            </w:r>
          </w:p>
        </w:tc>
      </w:tr>
      <w:tr w14:paraId="75A1E26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2E021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3B46A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§9 指标"生成可编译率 ≥ 95%"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1036A7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未区分"首次生成"与"内环修复后"。Agents4PLC论文显示首次生成通过率约70-85%，经多轮修复后可达95%+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C6EE1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明确定义：是"首次生成即通过"还是"含内环修复后通过"。建议分设两个指标</w:t>
            </w:r>
          </w:p>
        </w:tc>
      </w:tr>
      <w:tr w14:paraId="36D929B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40453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48F9B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§4.5 时序图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1DEC7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缺少"学习闭环"在时序中的体现（经验沉淀何时触发）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A32E86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在验收后增加"学习管线触发"节点</w:t>
            </w:r>
          </w:p>
        </w:tc>
      </w:tr>
      <w:tr w14:paraId="6486506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DBA45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9BF20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§5.3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8B08D2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"网络安全：遵循IEC 62443分区与纵深防御"——未提及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IEC 62443-4-1（安全开发生命周期）对Agent生成代码的约束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58344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补充：Agent生成的程序/组态本身也需符合安全开发流程要求</w:t>
            </w:r>
          </w:p>
        </w:tc>
      </w:tr>
      <w:tr w14:paraId="43F828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3D1FB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D3EA6C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附录B第5条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E4040A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CERN openlab项目描述为"西门子Industrial Edge-Cloud与AI Agent"，实际是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CERN与西门子联合研究项目，重点是vPLC性能分析与AI代码生成探索，并非商用产品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6D799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修正描述，注明"联合研究项目，非商用产品"</w:t>
            </w:r>
          </w:p>
        </w:tc>
      </w:tr>
    </w:tbl>
    <w:p w14:paraId="740244B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🔍 附录B引用验证结果</w:t>
      </w:r>
    </w:p>
    <w:p w14:paraId="230866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1CCD36D6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3EFB86F8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5"/>
        <w:gridCol w:w="2184"/>
        <w:gridCol w:w="6701"/>
      </w:tblGrid>
      <w:tr w14:paraId="339FB8A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592BA9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引用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7EFDF56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9CFB3C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备注</w:t>
            </w:r>
          </w:p>
        </w:tc>
      </w:tr>
      <w:tr w14:paraId="0F48680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180C93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Agents4PLC（浙大）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E9FFD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✅ 有效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D7370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GitHub仓库存在，论文arXiv:2410.14209，含96个基准任务（v2.0），支持nuXmv/PLCverif形式化验证</w:t>
            </w:r>
          </w:p>
        </w:tc>
      </w:tr>
      <w:tr w14:paraId="6F74E5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49A93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RealPLC TIA Agent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A3617B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✅ 有效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0AEAA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2026年7月发布，通过TIA Openness API实现SCL导入→编译→诊断→AI修复闭环</w:t>
            </w:r>
          </w:p>
        </w:tc>
      </w:tr>
      <w:tr w14:paraId="34AC63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5AF80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Vendor-Aware Industrial Agents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9566F05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⚠️ 未能直接验证页面内容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8E74B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Semantic Scholar页面解析失败，但论文标题与描述合理（RAG增强PLC代码生成）</w:t>
            </w:r>
          </w:p>
        </w:tc>
      </w:tr>
      <w:tr w14:paraId="00C1AC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258E8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多智能体生成P&amp;ID图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50FD5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⚠️ 未能直接验证页面内容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F70FAD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同上，论文标题合理</w:t>
            </w:r>
          </w:p>
        </w:tc>
      </w:tr>
      <w:tr w14:paraId="68FE1A7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E53A67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西门子 Industrial Edge-Cloud（CERN）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D2E77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✅ 有效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7C3D8D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CERN openlab 2025年项目，含vPLC性能分析、AI代码生成、WinCC OA集成</w:t>
            </w:r>
          </w:p>
        </w:tc>
      </w:tr>
      <w:tr w14:paraId="432410B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4572A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美的 SemaPLC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82AD1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✅ 有效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4BFCA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开源Agent驱动IDE，自然语言→ST→编译→部署→行为验证，支持MCP协议，MIT许可</w:t>
            </w:r>
          </w:p>
        </w:tc>
      </w:tr>
    </w:tbl>
    <w:p w14:paraId="398E3C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补充建议：附录B可增加以下重要参考：</w:t>
      </w:r>
    </w:p>
    <w:p w14:paraId="281218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right="0" w:hanging="360"/>
        <w:rPr>
          <w:spacing w:val="0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西门子 Eigen Engineering Agent（2026年商用发布，首批100+企业部署）</w:t>
      </w:r>
    </w:p>
    <w:p w14:paraId="01C825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right="0" w:hanging="360"/>
        <w:rPr>
          <w:spacing w:val="0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CODESYS Automation Interface</w:t>
      </w: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官方文档</w:t>
      </w:r>
    </w:p>
    <w:p w14:paraId="713E39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right="0" w:hanging="360"/>
        <w:rPr>
          <w:spacing w:val="0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IEC 61499</w:t>
      </w: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相关工业Agent研究（如EcoStruxure Automation Expert）</w:t>
      </w:r>
    </w:p>
    <w:p w14:paraId="1D44D6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pacing w:val="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0D9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三、全面性缺口分析</w:t>
      </w:r>
    </w:p>
    <w:p w14:paraId="49E985A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🔴 高优先级缺失（建议v1.1补充）</w:t>
      </w:r>
    </w:p>
    <w:p w14:paraId="6BBBDB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66AA1D5E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438C304E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"/>
        <w:gridCol w:w="2614"/>
        <w:gridCol w:w="1470"/>
        <w:gridCol w:w="7360"/>
      </w:tblGrid>
      <w:tr w14:paraId="5A8015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EB723F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81170E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缺失内容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07CE29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重要性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F0811D8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说明</w:t>
            </w:r>
          </w:p>
        </w:tc>
      </w:tr>
      <w:tr w14:paraId="15338BA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6F7AC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6F73C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成本模型与ROI分析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81599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995E9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作为设计文档，决策者最关心"投入多少、回报多少、多久回本"。缺少此节将严重影响文档的决策支撑力</w:t>
            </w:r>
          </w:p>
        </w:tc>
      </w:tr>
      <w:tr w14:paraId="3341247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0DE36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12514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多项目并行与资源调度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FF2336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3CDAD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实际工程公司同时运行多个项目，编排器如何处理资源竞争、优先级、Agent实例隔离？当前仅描述单项目DAG</w:t>
            </w:r>
          </w:p>
        </w:tc>
      </w:tr>
      <w:tr w14:paraId="48D841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1B868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3D599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Agent模型版本管理与回归测试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B4BC1E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CBB02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LLM升级/切换后，已验证的工程产物是否仍然有效？需要"模型变更→回归测试→重新验证"机制</w:t>
            </w:r>
          </w:p>
        </w:tc>
      </w:tr>
      <w:tr w14:paraId="24F099B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E8D54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B06E56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变更影响分析的自动化方法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E493A2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05323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§4.4提到"任一环节变更自动标出受影响下游条目"，但未说明如何实现（图遍历？规则引擎？LLM推理？）</w:t>
            </w:r>
          </w:p>
        </w:tc>
      </w:tr>
      <w:tr w14:paraId="257BFF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A4BA1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09C83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知识库冷启动策略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FDED0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950A5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§6.2描述了标准/模板/案例库，但未说明初始库如何构建、最小可用规模是多少、谁负责初始审核</w:t>
            </w:r>
          </w:p>
        </w:tc>
      </w:tr>
      <w:tr w14:paraId="255D62C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31DEA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1CBD0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灾难恢复与业务连续性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A502C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9CF11C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编排器宕机、数据库损坏、模型服务中断时的恢复策略</w:t>
            </w:r>
          </w:p>
        </w:tc>
      </w:tr>
    </w:tbl>
    <w:p w14:paraId="0FCCB63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🟡 中优先级缺失（建议v2.0补充）</w:t>
      </w:r>
    </w:p>
    <w:p w14:paraId="693283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25F3A3D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4F52BA20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75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477"/>
        <w:gridCol w:w="7641"/>
      </w:tblGrid>
      <w:tr w14:paraId="1800FD6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F28DD5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8C402F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缺失内容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6A57DE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说明</w:t>
            </w:r>
          </w:p>
        </w:tc>
      </w:tr>
      <w:tr w14:paraId="6F2BC3C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E318C3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1A146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组织变革与角色转型路径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9321A3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资深工程师→闸门裁决者/知识治理者的转型培训方案</w:t>
            </w:r>
          </w:p>
        </w:tc>
      </w:tr>
      <w:tr w14:paraId="33352CC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D996CD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F8C64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供应商评估与选型决策矩阵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427E8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§11仅列"候选"，缺少评估维度（接口开放度、社区活跃度、长期支持承诺）</w:t>
            </w:r>
          </w:p>
        </w:tc>
      </w:tr>
      <w:tr w14:paraId="0020F4C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7F63C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060BC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跨平台/跨厂商迁移策略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2666E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从TIA迁移到CODESYS、从EPLAN迁移到其他E-CAD时，资产如何转换</w:t>
            </w:r>
          </w:p>
        </w:tc>
      </w:tr>
      <w:tr w14:paraId="67B8E1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A5A40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4C769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性能与可扩展性设计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F6AC6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单编排器支撑多少并行项目？Agent响应时延要求？知识库规模上限？</w:t>
            </w:r>
          </w:p>
        </w:tc>
      </w:tr>
      <w:tr w14:paraId="73C2DE7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3B800E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887DA9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行业垂直化适配指南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85491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汽车/3C/医药/食品/半导体等行业的差异化需求与合规要求</w:t>
            </w:r>
          </w:p>
        </w:tc>
      </w:tr>
      <w:tr w14:paraId="641CC56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46CB84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77F5F2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具体的测试策略（FAT/SAT/VAT）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9E26A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虚拟验收测试的详细流程与检查清单</w:t>
            </w:r>
          </w:p>
        </w:tc>
      </w:tr>
    </w:tbl>
    <w:p w14:paraId="63D141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🟢 低优先级（锦上添花）</w:t>
      </w:r>
    </w:p>
    <w:p w14:paraId="7D9FEE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06C1EDA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582A4276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7785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2314"/>
        <w:gridCol w:w="4840"/>
      </w:tblGrid>
      <w:tr w14:paraId="3A528B5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F586C3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F68985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缺失内容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49F7C4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说明</w:t>
            </w:r>
          </w:p>
        </w:tc>
      </w:tr>
      <w:tr w14:paraId="25CFC4E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4B37C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06B74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具体的网络架构设计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6A88F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工程网/办公网/生产网的隔离与Agent访问路径</w:t>
            </w:r>
          </w:p>
        </w:tc>
      </w:tr>
      <w:tr w14:paraId="4C4217D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4B05F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17498B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能耗与碳足迹追踪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DED59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与ESG/双碳目标的关联</w:t>
            </w:r>
          </w:p>
        </w:tc>
      </w:tr>
      <w:tr w14:paraId="7328740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43827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7CE40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国际化与多语言支持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A40BB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跨国项目的文档/注释多语言处理</w:t>
            </w:r>
          </w:p>
        </w:tc>
      </w:tr>
    </w:tbl>
    <w:p w14:paraId="0AA167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5E9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四、具体优化建议</w:t>
      </w:r>
    </w:p>
    <w:p w14:paraId="1541AE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优化1：补充"成本模型与ROI分析"章节</w:t>
      </w:r>
    </w:p>
    <w:p w14:paraId="0D2954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建议在§8（落地路径）后新增：</w:t>
      </w:r>
    </w:p>
    <w:p w14:paraId="4CF891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252556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5DE08C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 8.5 成本模型与ROI分析（示例：中型改造项目）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初始投入（CAPEX）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项目 | 估算 | 说明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|------|------|------|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Agent平台开发/集成 | ¥80-150万 | 含编排器、验证器适配、知识库构建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工程软件许可（TIA/EPLAN等） | ¥20-50万 | 已有则不计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9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算力与基础设施 | ¥10-30万 | 边缘节点+模型推理（或API调用）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培训与变革管理 | ¥5-15万 | 工程师转型培训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合计 | ¥115-245万 |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1213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年度收益（以10个同类项目/年计）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1415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收益项 | 估算 | 依据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|--------|------|------|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工程人力节省（40%效率提升） | ¥60-100万/年 | 3人→2人等效产出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现场调试工时节省（50%） | ¥20-40万/年 | 出差+现场人天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19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质量成本降低（返工减少） | ¥10-20万/年 | 一次验收通过率提升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20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| 知识复用带来的边际成本递减 | 逐年递增 | 模板复用率60%+ |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2122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投资回收期：约 1.5-2.5 年（10项目/年规模）</w:t>
      </w:r>
    </w:p>
    <w:p w14:paraId="059741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优化2：补充"多项目并行与资源调度"</w:t>
      </w:r>
    </w:p>
    <w:p w14:paraId="2F0A66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建议在§3.10编排器中增加：</w:t>
      </w:r>
    </w:p>
    <w:p w14:paraId="4BD115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61B103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6F020E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多项目并行约束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每个项目实例独立隔离（工作空间、追溯库、权限域）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共享资源（模型推理、仿真节点）按优先级队列调度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跨项目知识检索需脱敏（项目A的专有工艺不泄露给项目B的Agent上下文）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编排器支持"项目模板"实例化：标准产线项目可从模板一键生成DAG骨架</w:t>
      </w:r>
    </w:p>
    <w:p w14:paraId="1C54139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优化3：补充"Agent模型版本管理"</w:t>
      </w:r>
    </w:p>
    <w:p w14:paraId="49E655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建议在§7.1中增加：</w:t>
      </w:r>
    </w:p>
    <w:p w14:paraId="34033F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502DCD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5F525C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模型版本管理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每次生成记录所用模型版本（如gpt-4o-2024-11-20、deepseek-v3.2等）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模型升级/切换时，触发"回归验证"：对最近N个已交付项目的关键产物重新编译/仿真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回归不通过 → 标记为"模型兼容性风险"，人工评估是否影响已交付项目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提示词版本同样纳入版本控制（提示词变更等价于"代码变更"，走变更审批）</w:t>
      </w:r>
    </w:p>
    <w:p w14:paraId="4B52FDA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优化4：细化"变更影响分析"实现方法</w:t>
      </w:r>
    </w:p>
    <w:p w14:paraId="649780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§4.4当前描述偏概念化，建议补充：</w:t>
      </w:r>
    </w:p>
    <w:p w14:paraId="7488DE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79098D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4FBD48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变更影响分析实现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追溯矩阵建模为有向图：需求节点→设计节点→实现节点→测试节点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变更发生时，沿图正向遍历所有下游可达节点，标记为"受影响"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影响评估分三级：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- 直接影响（同一节点的产物需重新生成）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- 间接影响（下游节点需重新验证）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- 潜在影响（语义相关但无直接链接，由LLM辅助判断，人工确认）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- 直接影响自动触发重新生成+验证；间接影响进入待办队列；潜在影响仅提醒</w:t>
      </w:r>
    </w:p>
    <w:p w14:paraId="2BF9441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优化5：补充"知识库冷启动策略"</w:t>
      </w:r>
    </w:p>
    <w:p w14:paraId="4E3D28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建议在§6.2中增加：</w:t>
      </w:r>
    </w:p>
    <w:p w14:paraId="022209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22A5B8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606938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冷启动策略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1. **种子库构建**（阶段一完成前）：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从企业历史项目中提取 ≥20 个已验证的程序模板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整理 ≥5 套行业标准检查清单（如GB/T 15969、IEC 61131-3命名规范）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人工编写 ≥10 个典型案例（含失败-修复对）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2. **最小可用规模**：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模板库 ≥20 条、案例库 ≥30 条、标准库覆盖主营业务领域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低于此规模时，RAG检索命中率不足，Agent退化为"纯生成模式"（无检索增强）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9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3. **质量门控**：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初始入库由资深工程师逐条审核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后续增量入库走"学习管线初筛+人工抽检"（抽检率 ≥20%）</w:t>
      </w:r>
    </w:p>
    <w:p w14:paraId="38EFCDF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优化6：§9指标体系细化</w:t>
      </w:r>
    </w:p>
    <w:p w14:paraId="3B67F9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当前指标存在定义模糊问题：</w:t>
      </w:r>
    </w:p>
    <w:p w14:paraId="39E36F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656EBD5F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4A48F701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3"/>
        <w:gridCol w:w="2626"/>
        <w:gridCol w:w="6731"/>
      </w:tblGrid>
      <w:tr w14:paraId="5372033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6BF871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原指标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4997E3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1FCBBCD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修正建议</w:t>
            </w:r>
          </w:p>
        </w:tc>
      </w:tr>
      <w:tr w14:paraId="74215D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7D31F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生成可编译率 ≥95%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133341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未区分首次/含修复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7F6806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拆分为"首次生成编译通过率"（目标≥80%）和"含内环修复后编译通过率"（目标≥95%）</w:t>
            </w:r>
          </w:p>
        </w:tc>
      </w:tr>
      <w:tr w14:paraId="776F2B8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ABA04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虚拟调试缺陷密度"下降≥30%"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37FEF6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对比基线如何确定？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E21CC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明确：以同类项目近3年人工调试阶段发现的缺陷数为基线</w:t>
            </w:r>
          </w:p>
        </w:tc>
      </w:tr>
      <w:tr w14:paraId="3DCA9A6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046B1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人工介入次数"趋近于闸门数"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CDCF5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闸门数本身未量化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B7740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补充：A1级典型项目闸门数约6-8个（对应§5.2清单），目标为"闸门外介入 ≤2次/项目"</w:t>
            </w:r>
          </w:p>
        </w:tc>
      </w:tr>
      <w:tr w14:paraId="4E93B64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346FBB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一次验收通过率 ≥80%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C2413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合理，但缺少"重大整改"的定义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B41229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补充：重大整改 = 需修改控制逻辑/安全回路/重新下载程序的整改项</w:t>
            </w:r>
          </w:p>
        </w:tc>
      </w:tr>
    </w:tbl>
    <w:p w14:paraId="44926C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0D7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五、文档结构与表达优化</w:t>
      </w:r>
    </w:p>
    <w:p w14:paraId="3A8CD17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5.1 建议增加"执行摘要"</w:t>
      </w:r>
    </w:p>
    <w:p w14:paraId="2188E5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文档当前直接从§1开始，缺少面向决策层的1页摘要。建议在文首增加：</w:t>
      </w:r>
    </w:p>
    <w:p w14:paraId="62AB9D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2C8534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49C40A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 执行摘要（面向决策层）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**问题**：工业自动化项目交付周期长、依赖个人经验、知识复用率低。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**方案**：构建多Agent体系，以"验证即门禁"为核心，实现需求→设计→编程→仿真→部署→运维的全链路自主闭环。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**核心原则**：模型负责生成，确定性工具负责裁决，人类负责把关。安全与正确性不押在概率输出上。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**预期收益**：项目周期缩短≥40%，现场调试工时压缩≥50%，知识复用率≥60%。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**落地路径**：四阶段渐进（助手→半自动→受限全自动→学习型全自动），从控制程序生成单点切入。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**投资估算**：¥115-245万初始投入，1.5-2.5年回收（10项目/年规模）。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9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**红线**：安全事故数为0；SIL3+安全功能不自动生成；危险操作永远人工闸门。</w:t>
      </w:r>
    </w:p>
    <w:p w14:paraId="0732AF7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5.2 建议增加"术语与缩略语表"扩展</w:t>
      </w:r>
    </w:p>
    <w:p w14:paraId="22B944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当前§1.4仅定义了5个术语，建议扩展：</w:t>
      </w:r>
    </w:p>
    <w:p w14:paraId="29EA8E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3724072E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4F7F09F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759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6317"/>
      </w:tblGrid>
      <w:tr w14:paraId="7C50105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8FFAD2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2C39337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定义</w:t>
            </w:r>
          </w:p>
        </w:tc>
      </w:tr>
      <w:tr w14:paraId="07E196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ACE8C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DAG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E555A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有向无环图，用于建模任务依赖</w:t>
            </w:r>
          </w:p>
        </w:tc>
      </w:tr>
      <w:tr w14:paraId="4D16615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555AF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E708D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检索增强生成，从知识库检索相关片段辅助LLM生成</w:t>
            </w:r>
          </w:p>
        </w:tc>
      </w:tr>
      <w:tr w14:paraId="0524020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73549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MCP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781A4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Model Context Protocol，Agent调用外部工具的标准化协议</w:t>
            </w:r>
          </w:p>
        </w:tc>
      </w:tr>
      <w:tr w14:paraId="5848363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BC6C3A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A2A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32733C8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Agent-to-Agent Protocol，Agent间任务协商协议</w:t>
            </w:r>
          </w:p>
        </w:tc>
      </w:tr>
      <w:tr w14:paraId="3870CDC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7D12A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SIL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83F26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安全完整性等级（Safety Integrity Level），IEC 61508定义</w:t>
            </w:r>
          </w:p>
        </w:tc>
      </w:tr>
      <w:tr w14:paraId="2097961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356F6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HAZOP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0475CC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危险与可操作性分析</w:t>
            </w:r>
          </w:p>
        </w:tc>
      </w:tr>
      <w:tr w14:paraId="475E8E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805732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FMEA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5169EE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失效模式与影响分析</w:t>
            </w:r>
          </w:p>
        </w:tc>
      </w:tr>
      <w:tr w14:paraId="2634AAB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48E2B0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E-CAD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F1221E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电气计算机辅助设计（如EPLAN）</w:t>
            </w:r>
          </w:p>
        </w:tc>
      </w:tr>
      <w:tr w14:paraId="5FA0A3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01939A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ST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A659DF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结构化文本（Structured Text），IEC 61131-3编程语言</w:t>
            </w:r>
          </w:p>
        </w:tc>
      </w:tr>
      <w:tr w14:paraId="4F397F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B6BF967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SIMIT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DB365D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西门子仿真工具</w:t>
            </w:r>
          </w:p>
        </w:tc>
      </w:tr>
      <w:tr w14:paraId="41201B4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975642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Openness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E49804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TIA Portal的自动化编程接口</w:t>
            </w:r>
          </w:p>
        </w:tc>
      </w:tr>
    </w:tbl>
    <w:p w14:paraId="03B1C49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5.3 附录A走查示例的改进</w:t>
      </w:r>
    </w:p>
    <w:p w14:paraId="15A42B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当前走查示例很好，建议补充失败路径示例：</w:t>
      </w:r>
    </w:p>
    <w:p w14:paraId="30F4F3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0F0F2"/>
          <w:lang w:val="en-US" w:eastAsia="zh-CN" w:bidi="ar"/>
        </w:rPr>
        <w:t>markdown</w:t>
      </w:r>
    </w:p>
    <w:p w14:paraId="156C52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0F0F2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0F0F2"/>
          <w:lang w:val="en-US" w:eastAsia="zh-CN" w:bidi="ar"/>
        </w:rPr>
        <w:t>编辑</w:t>
      </w:r>
    </w:p>
    <w:p w14:paraId="3431B1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### 附录A.2：失败路径走查（仿真未通过场景）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23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>4'. **仿真失败**：仿真Agent执行60个用例，首轮通过率仅72%（目标≥88%）。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4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诊断：3个故障注入用例中，安全联锁响应超时（模型中气缸响应时间参数与需求不一致）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内环修复：控制程序Agent调整超时参数 → 重新编译 → 二轮仿真 → 通过率95%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6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剩余1个用例失败：边界条件（同时启动+急停）未在需求矩阵中定义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7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升级：编排器生成"需求缺口报告"，升级至人类监督者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8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人工裁决：补充需求条目 → 需求基线变更 → 重新走设计→实现→仿真流程</w:t>
      </w:r>
      <w:r>
        <w:rPr>
          <w:rFonts w:hint="default" w:ascii="Consolas" w:hAnsi="Consolas" w:eastAsia="Consolas" w:cs="Consolas"/>
          <w:i/>
          <w:iCs/>
          <w:caps w:val="0"/>
          <w:color w:val="008000"/>
          <w:spacing w:val="0"/>
          <w:sz w:val="19"/>
          <w:szCs w:val="19"/>
          <w:bdr w:val="single" w:color="auto" w:sz="2" w:space="0"/>
          <w:shd w:val="clear" w:fill="FFFFFF"/>
        </w:rPr>
        <w:t>9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1"/>
          <w:szCs w:val="21"/>
          <w:bdr w:val="single" w:color="auto" w:sz="2" w:space="0"/>
          <w:shd w:val="clear" w:fill="FFFFFF"/>
        </w:rPr>
        <w:t xml:space="preserve">   - 学习沉淀：此"需求遗漏→仿真发现"案例入库，标记为"边界条件覆盖不足"模式</w:t>
      </w:r>
    </w:p>
    <w:p w14:paraId="31E81B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93A34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13E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六、与业界最新进展的对齐建议</w:t>
      </w:r>
    </w:p>
    <w:p w14:paraId="0A0BE7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基于附录B引用验证和当前行业动态，建议补充以下对齐信息：</w:t>
      </w:r>
    </w:p>
    <w:p w14:paraId="28B07C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5"/>
          <w:bottom w:val="none" w:color="auto" w:sz="0" w:space="0"/>
          <w:right w:val="single" w:color="auto" w:sz="2" w:space="5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表格</w:t>
      </w:r>
    </w:p>
    <w:p w14:paraId="4954DA8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下载为表格</w:t>
      </w:r>
    </w:p>
    <w:p w14:paraId="35264D2C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4"/>
          <w:bottom w:val="single" w:color="auto" w:sz="2" w:space="2"/>
          <w:right w:val="single" w:color="auto" w:sz="2" w:space="4"/>
        </w:pBdr>
        <w:shd w:val="clear" w:fill="FFFFFF"/>
        <w:spacing w:before="0" w:beforeAutospacing="0" w:after="0" w:afterAutospacing="0" w:line="180" w:lineRule="atLeast"/>
        <w:ind w:left="0" w:right="0" w:firstLine="0"/>
        <w:jc w:val="left"/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ar(--ty-font-text)" w:hAnsi="var(--ty-font-text)" w:eastAsia="var(--ty-font-text)" w:cs="var(--ty-font-text)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导出为图片</w:t>
      </w:r>
    </w:p>
    <w:tbl>
      <w:tblPr>
        <w:tblW w:w="1197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4121"/>
        <w:gridCol w:w="5104"/>
      </w:tblGrid>
      <w:tr w14:paraId="01D155D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B3B2ED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进展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BDCF532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与本文档的关系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F87B6C">
            <w:pPr>
              <w:keepNext w:val="0"/>
              <w:keepLines w:val="0"/>
              <w:widowControl/>
              <w:suppressLineNumbers w:val="0"/>
              <w:spacing w:line="120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建议动作</w:t>
            </w:r>
          </w:p>
        </w:tc>
      </w:tr>
      <w:tr w14:paraId="65ED6B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78C9E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美的SemaPLC（已验证）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8D4766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实现了"自然语言→ST→编译→部署→行为验证"完整闭环，且支持MCP协议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71A3C3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§3.4可引用为"开源参考实现"，其"行为验证"（force inputs + trace variables）思路可纳入§3.6仿真验证Agent</w:t>
            </w:r>
          </w:p>
        </w:tc>
      </w:tr>
      <w:tr w14:paraId="0520BAC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333D9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CERN×西门子vPLC项目（已验证）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5DFC75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验证了虚拟PLC在边缘/云环境的可行性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F5875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§7.3"现场部署形态"可引用此项目作为"云端编排+边缘执行"的实践证据</w:t>
            </w:r>
          </w:p>
        </w:tc>
      </w:tr>
      <w:tr w14:paraId="11F926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64356B0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Agents4PLC v2.0（已验证）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C4407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96个基准任务，含形式化验证（nuXmv/PLCverif）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79419D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§2.3验证器表格可增加"形式化验证（模型检测）"作为高阶验证手段（适用于安全关键逻辑）</w:t>
            </w:r>
          </w:p>
        </w:tc>
      </w:tr>
      <w:tr w14:paraId="5871E7B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81103B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西门子Eigen Engineering Agent（2026商用）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08A8AAA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未在附录B中提及</w:t>
            </w:r>
          </w:p>
        </w:tc>
        <w:tc>
          <w:tcPr>
            <w:tcW w:w="0" w:type="auto"/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52D26F">
            <w:pPr>
              <w:keepNext w:val="0"/>
              <w:keepLines w:val="0"/>
              <w:widowControl/>
              <w:suppressLineNumbers w:val="0"/>
              <w:spacing w:line="165" w:lineRule="atLeast"/>
              <w:ind w:left="0" w:firstLine="0"/>
              <w:jc w:val="left"/>
              <w:textAlignment w:val="center"/>
              <w:rPr>
                <w:color w:val="2125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建议补充为参考来源，它是当前最成熟的商用工业工程Agent</w:t>
            </w:r>
          </w:p>
        </w:tc>
      </w:tr>
    </w:tbl>
    <w:p w14:paraId="56A8AF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none" w:color="auto" w:sz="0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4395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七、总结</w:t>
      </w:r>
    </w:p>
    <w:p w14:paraId="7010D3B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文档核心优势（应保持）</w:t>
      </w:r>
    </w:p>
    <w:p w14:paraId="4206B0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"验证即门禁"原则——这是全文的灵魂，完全正确，是区别于"AI玩具项目"的根本</w:t>
      </w:r>
    </w:p>
    <w:p w14:paraId="704DCF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"模型只管生成，系统负责正确性"——精准把握了工业AI的本质约束</w:t>
      </w:r>
    </w:p>
    <w:p w14:paraId="31623C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渐进式落地路径——A0→A3，有退出条件，不冒进</w:t>
      </w:r>
    </w:p>
    <w:p w14:paraId="5E03E5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明确的范围排除——SIL3+、特种设备、强物理交互不碰，务实</w:t>
      </w:r>
    </w:p>
    <w:p w14:paraId="50A384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全链路可追溯设计——需求→实现→测试→变更的单一数据源</w:t>
      </w:r>
    </w:p>
    <w:p w14:paraId="22CCAF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核心改进方向</w:t>
      </w:r>
    </w:p>
    <w:p w14:paraId="40078F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补"钱"：增加成本模型与ROI，让文档能支撑投资决策</w:t>
      </w:r>
    </w:p>
    <w:p w14:paraId="234906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补"并行"：多项目资源调度与隔离</w:t>
      </w:r>
    </w:p>
    <w:p w14:paraId="792CA5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补"冷启动"：知识库从零到可用的具体路径</w:t>
      </w:r>
    </w:p>
    <w:p w14:paraId="20F5F4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补"模型治理"：LLM版本变更的回归验证机制</w:t>
      </w:r>
    </w:p>
    <w:p w14:paraId="1C4B92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195" w:lineRule="atLeast"/>
        <w:ind w:left="720" w:right="720" w:hanging="252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细化指标：区分首次/含修复通过率，明确基线定义</w:t>
      </w:r>
    </w:p>
    <w:p w14:paraId="6EB2B8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spacing w:val="2"/>
        </w:rPr>
      </w:pPr>
      <w:r>
        <w:rPr>
          <w:i w:val="0"/>
          <w:iCs w:val="0"/>
          <w:caps w:val="0"/>
          <w:color w:val="000000"/>
          <w:spacing w:val="2"/>
          <w:bdr w:val="single" w:color="auto" w:sz="2" w:space="0"/>
          <w:shd w:val="clear" w:fill="FFFFFF"/>
        </w:rPr>
        <w:t>最终判定</w:t>
      </w:r>
    </w:p>
    <w:p w14:paraId="2C5E78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6"/>
          <w:bottom w:val="single" w:color="auto" w:sz="2" w:space="0"/>
          <w:right w:val="single" w:color="auto" w:sz="2" w:space="6"/>
        </w:pBdr>
        <w:shd w:val="clear" w:fill="FFFFFF"/>
        <w:spacing w:before="0" w:beforeAutospacing="0" w:after="0" w:afterAutospacing="0" w:line="195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本文档说法正确、架构合理、原则无误，已具备指导工程实施的基础。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主要不足在于"从设计到施工"的操作层细节（成本、并行、冷启动、模型治理）尚未展开。建议按上述6项高优先级缺口补充后升级为v1.1，即可作为正式的项目立项与架构评审文档使用。</w:t>
      </w:r>
    </w:p>
    <w:p w14:paraId="2811BB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C106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ty-font-text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E1B67D"/>
    <w:multiLevelType w:val="multilevel"/>
    <w:tmpl w:val="F8E1B67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62D6745"/>
    <w:multiLevelType w:val="multilevel"/>
    <w:tmpl w:val="162D6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1980AF9"/>
    <w:multiLevelType w:val="multilevel"/>
    <w:tmpl w:val="21980AF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1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2026-09-05T02:11:38Z</dcterms:created>
  <dc:creator>HEZHONGMING</dc:creator>
  <cp:lastModifiedBy>何忠明</cp:lastModifiedBy>
  <dcterms:modified xsi:type="dcterms:W3CDTF">2026-09-05T02:12:44Z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eyJoZGlkIjoiMzEwNTM5NzYwMDRjMzkwZTVkZjY2ODkwMGIxNGU0OTUiLCJ1c2VySWQiOiI3Mjc0NTU2MTgifQ==</vt:lpwstr>
  </property>
  <property fmtid="{D5CDD505-2E9C-101B-9397-08002B2CF9AE}" pid="4" name="ICV">
    <vt:lpwstr>CE7C44CC4CFF413C85F9CC8829BC9264_12</vt:lpwstr>
  </property>
</Properties>
</file>