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77D85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一、引言</w:t>
      </w:r>
    </w:p>
    <w:p w14:paraId="3E98F23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本项目"园区安防空地协同巡检集成平台"同时运行 ZooKeeper、Kafka、HDFS（NameNode 与 DataNode）、MongoDB、Elasticsearch、Kibana 六类中间件，以及 Spring Boot 后端、Vue3 前端和两个 Python 设备仿真器，共十一个进程。它们的运行时依赖各不相同：Hadoop 基于 Java 8，后端基于 Java 17，前端依赖 Node.js 18，仿真器依赖 Python 3.11，直接安装在同一台机器上极易产生版本与端口冲突。传统虚拟机方案需要为每个组件运行完整的客户机操作系统，开销大、启动慢。Docker 于 2013 年提出更轻量的方案：容器不模拟硬件、不携带独立内核，直接复用宿主内核，通过操作系统机制实现进程级隔离，启动在秒级。本报告调研 Docker 的隔离原理、镜像机制与多容器编排，分析其优缺点与适用场景，并记录本项目部署中的真实问题与解决过程。</w:t>
      </w:r>
    </w:p>
    <w:p w14:paraId="2854A076">
      <w:pPr>
        <w:pStyle w:val="3"/>
        <w:bidi w:val="0"/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二、技术原理与架构</w:t>
      </w:r>
    </w:p>
    <w:p w14:paraId="6399CFB7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2.1 容器与虚拟机的本质区别</w:t>
      </w:r>
    </w:p>
    <w:p w14:paraId="665D9816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表2-1 容器与虚拟机的区别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64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54E8DE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2880" w:type="dxa"/>
            <w:shd w:val="clear" w:color="auto" w:fill="D9E2F3"/>
          </w:tcPr>
          <w:p w14:paraId="7CDCCCC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虚拟机</w:t>
            </w:r>
          </w:p>
        </w:tc>
        <w:tc>
          <w:tcPr>
            <w:tcW w:w="2880" w:type="dxa"/>
            <w:shd w:val="clear" w:color="auto" w:fill="D9E2F3"/>
          </w:tcPr>
          <w:p w14:paraId="74A2691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容器</w:t>
            </w:r>
          </w:p>
        </w:tc>
      </w:tr>
      <w:tr w14:paraId="294B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CEA05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隔离级别</w:t>
            </w:r>
          </w:p>
        </w:tc>
        <w:tc>
          <w:tcPr>
            <w:tcW w:w="2880" w:type="dxa"/>
          </w:tcPr>
          <w:p w14:paraId="761D1BC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硬件级（Hypervisor）</w:t>
            </w:r>
          </w:p>
        </w:tc>
        <w:tc>
          <w:tcPr>
            <w:tcW w:w="2880" w:type="dxa"/>
          </w:tcPr>
          <w:p w14:paraId="4737E1A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进程级（Namespace + Cgroup）</w:t>
            </w:r>
          </w:p>
        </w:tc>
      </w:tr>
      <w:tr w14:paraId="2712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631A9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w="2880" w:type="dxa"/>
          </w:tcPr>
          <w:p w14:paraId="44074CF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每台虚拟机一套完整 OS</w:t>
            </w:r>
          </w:p>
        </w:tc>
        <w:tc>
          <w:tcPr>
            <w:tcW w:w="2880" w:type="dxa"/>
          </w:tcPr>
          <w:p w14:paraId="4BA89A4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共享宿主内核</w:t>
            </w:r>
          </w:p>
        </w:tc>
      </w:tr>
      <w:tr w14:paraId="41DF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6BE9F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镜像大小</w:t>
            </w:r>
          </w:p>
        </w:tc>
        <w:tc>
          <w:tcPr>
            <w:tcW w:w="2880" w:type="dxa"/>
          </w:tcPr>
          <w:p w14:paraId="4212751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GB 级</w:t>
            </w:r>
          </w:p>
        </w:tc>
        <w:tc>
          <w:tcPr>
            <w:tcW w:w="2880" w:type="dxa"/>
          </w:tcPr>
          <w:p w14:paraId="7C4A375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MB 级</w:t>
            </w:r>
          </w:p>
        </w:tc>
      </w:tr>
      <w:tr w14:paraId="1A7B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EAC68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启动时间</w:t>
            </w:r>
          </w:p>
        </w:tc>
        <w:tc>
          <w:tcPr>
            <w:tcW w:w="2880" w:type="dxa"/>
          </w:tcPr>
          <w:p w14:paraId="7508150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w="2880" w:type="dxa"/>
          </w:tcPr>
          <w:p w14:paraId="2E65E32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秒级</w:t>
            </w:r>
          </w:p>
        </w:tc>
      </w:tr>
      <w:tr w14:paraId="64F5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2650C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隔离强度</w:t>
            </w:r>
          </w:p>
        </w:tc>
        <w:tc>
          <w:tcPr>
            <w:tcW w:w="2880" w:type="dxa"/>
          </w:tcPr>
          <w:p w14:paraId="60CD39C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强</w:t>
            </w:r>
          </w:p>
        </w:tc>
        <w:tc>
          <w:tcPr>
            <w:tcW w:w="2880" w:type="dxa"/>
          </w:tcPr>
          <w:p w14:paraId="358B7B2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较弱（共享内核）</w:t>
            </w:r>
          </w:p>
        </w:tc>
      </w:tr>
      <w:tr w14:paraId="3A9B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1DF74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典型场景</w:t>
            </w:r>
          </w:p>
        </w:tc>
        <w:tc>
          <w:tcPr>
            <w:tcW w:w="2880" w:type="dxa"/>
          </w:tcPr>
          <w:p w14:paraId="03DF3E5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强隔离、异构操作系统</w:t>
            </w:r>
          </w:p>
        </w:tc>
        <w:tc>
          <w:tcPr>
            <w:tcW w:w="2880" w:type="dxa"/>
          </w:tcPr>
          <w:p w14:paraId="5E47839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微服务、多组件环境、CI/CD</w:t>
            </w:r>
          </w:p>
        </w:tc>
      </w:tr>
    </w:tbl>
    <w:p w14:paraId="4A76A970"/>
    <w:p w14:paraId="49BFB89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核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en-US"/>
        </w:rPr>
        <w:t>心差异只有一句话：容器共享宿主内核。这既是容器轻量的根源，也是其隔离强度弱于虚拟机的根源。本项目中 Java 8 的 Hadoop 与 Java 17 的 Spring Boot 能在同一台机器上互不干扰，依靠的正是进程级隔离。</w:t>
      </w:r>
    </w:p>
    <w:p w14:paraId="6E3CB69B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2.2 三大底层机制</w:t>
      </w:r>
    </w:p>
    <w:p w14:paraId="4BBE993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容器的隔离并非 Docker 实现，而是借助 Linux 内核的三项机制，Docker 只是把它们封装成了易用的工具链。</w:t>
      </w:r>
    </w:p>
    <w:p w14:paraId="1A2D5DE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（1）Namespace——让进程"看不见"彼此。 通过 PID、NET、MNT、UTS、IPC、USER 六类命名空间，让进程各自拥有独立的进程号、网络栈、文件系统视图、主机名与进程间通信空间。本项目中 Kafka 的 9092、Kibana 的 5601、后端的 8080 端口互不冲突，容器之间在 campus_net 网络上直接用服务名（如 kafka:9092）互相访问，都是网络命名空间与 Docker 内置 DNS 的作用。</w:t>
      </w:r>
    </w:p>
    <w:p w14:paraId="06A0662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（2）Cgroup——让进程"用不了那么多"。 它限制进程组的内存上限、CPU 配额、块设备 I/O 速率与进程数。本项目为 Elasticsearch 设置 ES_JAVA_OPTS=-Xms512m -Xmx512m 固定堆大小，并通过 ulimits 调大文件句柄数。在容器中运行 JVM 时要注意：容器内存限制与 JVM 堆必须协同配置，堆之外还有元空间、线程栈、直接内存，容器内存上限一般留到堆的 1.5～2 倍。</w:t>
      </w:r>
    </w:p>
    <w:p w14:paraId="5BDB6BD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（3）UnionFS——让镜像"分层复用"。 容器根文件系统由多个只读镜像层叠加而成，启动时在最上方加一个可写层，运行期修改借助写时复制（Copy-on-Write）落到可写层。这带来三项收益：多镜像共享基础层节省磁盘、创建容器只需加可写层因而极快、未变化的层构建时命中缓存。本项目四个 Dockerfile 都把"拷贝依赖清单"放在"拷贝源码"之前（先 COPY pom.xml/package*.json/requirements.txt，再拷源码），使改业务代码时不必重新下载依赖。</w:t>
      </w:r>
    </w:p>
    <w:p w14:paraId="4C9C8262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en-US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2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en-US"/>
        </w:rPr>
        <w:t>.3 核心概念与架构分层</w:t>
      </w:r>
    </w:p>
    <w:p w14:paraId="623CEC2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镜像是含应用及全部依赖的只读模板；容器是"镜像 + 一个可写层"的运行实例；数据卷是独立于容器生命周期的持久化存储；网络为容器提供隔离与服务名解析。容器删除后可写层即消失，因此本项目用六个具名数据卷分别承载 ZooKeeper、Kafka、HDFS、MongoDB、ES 的数据：docker compose down 删容器不删数据，只有 down -v 连卷删除才会完全重置。</w:t>
      </w:r>
    </w:p>
    <w:p w14:paraId="394019F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架构上，docker 命令只是客户端，请求经 REST API 发给 dockerd 守护进程，由其下层的 containerd 管理容器生命周期，最终由符合 OCI 标准的 runc 调用内核创建容器。理解这一分层有助于定位问题：镜像拉取失败可能是守护进程网络问题，容器起不来可能是 runc 创建隔离环境失败，容器起来但报错则是应用问题。</w:t>
      </w:r>
    </w:p>
    <w:p w14:paraId="25FBA1B8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2.4 多容器编排：Docker Compose</w:t>
      </w:r>
    </w:p>
    <w:p w14:paraId="33F2905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十一个容器存在启动顺序、网络连通、数据共享等依赖，无法靠手工 docker run 管理。Docker Compose 用一份声明式 YAML 描述整套应用，提供服务定义、depends_on 依赖与就绪控制、环境变量注入、自动 bridge 网络与服务名 DNS、数据卷与重启策略声明、一键启停等能力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。</w:t>
      </w:r>
    </w:p>
    <w:p w14:paraId="22E0B909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三、技术优缺点分析</w:t>
      </w:r>
    </w:p>
    <w:p w14:paraId="4AD06F15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3.1 优点</w:t>
      </w:r>
    </w:p>
    <w:p w14:paraId="5915A37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1）环境一致性。 镜像封装应用与全部依赖，"在我机器上能跑"的问题被根除，JDK 8/17、Python、Node.js 共存也不冲突。</w:t>
      </w:r>
    </w:p>
    <w:p w14:paraId="7C35DB0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（2）轻量快速。 共享内核、无需客户机 OS，十一个容器可同跑一台开发机，启动均在秒级。</w:t>
      </w:r>
    </w:p>
    <w:p w14:paraId="5DE3CAC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（3）版本隔离与快速重置。 每个组件锁定独立镜像版本（如 mongo:6、elasticsearch:8.12.0）；调试污染环境后 down -v 再 up 即可回到干净初始状态。</w:t>
      </w:r>
    </w:p>
    <w:p w14:paraId="676C6A1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（4）声明式编排、环境可复现。 十一个容器、六个数据卷、一个网络收敛为一份纳入版本库的 YAML，团队任何人一条命令即可得到相同环境。</w:t>
      </w:r>
    </w:p>
    <w:p w14:paraId="1CC84A3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（5）生态成熟、契合 CI/CD。 所用中间件均有官方或社区镜像，镜像即交付物，构建一次可处处运行。</w:t>
      </w:r>
    </w:p>
    <w:p w14:paraId="54B66183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3.2 缺点与局限</w:t>
      </w:r>
    </w:p>
    <w:p w14:paraId="59641AE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1）隔离强度弱于虚拟机。 容器共享内核，内核漏洞影响面更大，容器内 root 的权限也需谨慎处理，生产环境常要求非 root 运行。</w:t>
      </w:r>
    </w:p>
    <w:p w14:paraId="0CEA21E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（2）非 Linux 平台依赖虚拟化。 Windows/macOS 上运行 Linux 容器需借助 WSL2 或轻量 VM，跨系统文件挂载存在 I/O 损耗与行为差异。</w:t>
      </w:r>
    </w:p>
    <w:p w14:paraId="503EA9E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（3）无状态带来持久化负担。 数据必须放入数据卷，而卷的备份、迁移、容灾都需要额外设计。</w:t>
      </w:r>
    </w:p>
    <w:p w14:paraId="174A9A0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（4）默认资源配置不适配"多组件共享一机"。 中间件裸机默认值多基于"独占整机"假设（如 JVM 按整机内存推断堆），放进共享配额的容器后会互相争抢，必须逐一显式配置。</w:t>
      </w:r>
    </w:p>
    <w:p w14:paraId="3E1335F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（5）排错链路变长，且 Compose 只支持单机。 日志、网络、文件系统都需经 Docker 间接排查；跨主机调度、自愈、滚动升级则需要 Kubernetes。</w:t>
      </w:r>
    </w:p>
    <w:p w14:paraId="421C65B7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四、适用场景与同类技术对比</w:t>
      </w:r>
    </w:p>
    <w:p w14:paraId="3E3F6F8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适用判据：多组件开发/演示环境、微服务部署、CI/CD 流水线、快速验证重型中间件、单机多服务编排——这些场景追求"环境一致、快速交付、进程级隔离"，适合用容器。反之，需要硬件级强隔离的多租户环境、需要异构操作系统、跨主机集群治理、对 I/O 有极致要求的场景，应分别选择虚拟机或 Kubernetes。</w:t>
      </w:r>
    </w:p>
    <w:p w14:paraId="5D199352">
      <w:pPr>
        <w:jc w:val="center"/>
        <w:rPr>
          <w:rFonts w:hint="default"/>
          <w:lang w:val="en-US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表2-1 Docker、podman与kubernetes对比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37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7512799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2160" w:type="dxa"/>
            <w:shd w:val="clear" w:color="auto" w:fill="D9E2F3"/>
          </w:tcPr>
          <w:p w14:paraId="36F0559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Docker（+Compose）</w:t>
            </w:r>
          </w:p>
        </w:tc>
        <w:tc>
          <w:tcPr>
            <w:tcW w:w="2160" w:type="dxa"/>
            <w:shd w:val="clear" w:color="auto" w:fill="D9E2F3"/>
          </w:tcPr>
          <w:p w14:paraId="125BA8A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Podman</w:t>
            </w:r>
          </w:p>
        </w:tc>
        <w:tc>
          <w:tcPr>
            <w:tcW w:w="2160" w:type="dxa"/>
            <w:shd w:val="clear" w:color="auto" w:fill="D9E2F3"/>
          </w:tcPr>
          <w:p w14:paraId="4936039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Kubernetes</w:t>
            </w:r>
          </w:p>
        </w:tc>
      </w:tr>
      <w:tr w14:paraId="6321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DA4FC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定位</w:t>
            </w:r>
          </w:p>
        </w:tc>
        <w:tc>
          <w:tcPr>
            <w:tcW w:w="2160" w:type="dxa"/>
          </w:tcPr>
          <w:p w14:paraId="2A7507E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容器引擎 + 完整工具链</w:t>
            </w:r>
          </w:p>
        </w:tc>
        <w:tc>
          <w:tcPr>
            <w:tcW w:w="2160" w:type="dxa"/>
          </w:tcPr>
          <w:p w14:paraId="6ADDE58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无守护进程引擎</w:t>
            </w:r>
          </w:p>
        </w:tc>
        <w:tc>
          <w:tcPr>
            <w:tcW w:w="2160" w:type="dxa"/>
          </w:tcPr>
          <w:p w14:paraId="573B8C6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集群编排平台</w:t>
            </w:r>
          </w:p>
        </w:tc>
      </w:tr>
      <w:tr w14:paraId="3B20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5E1E5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Root 权限</w:t>
            </w:r>
          </w:p>
        </w:tc>
        <w:tc>
          <w:tcPr>
            <w:tcW w:w="2160" w:type="dxa"/>
          </w:tcPr>
          <w:p w14:paraId="277EC0C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传统模式需 root 守护进程</w:t>
            </w:r>
          </w:p>
        </w:tc>
        <w:tc>
          <w:tcPr>
            <w:tcW w:w="2160" w:type="dxa"/>
          </w:tcPr>
          <w:p w14:paraId="51380BB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原生 rootless 友好</w:t>
            </w:r>
          </w:p>
        </w:tc>
        <w:tc>
          <w:tcPr>
            <w:tcW w:w="2160" w:type="dxa"/>
          </w:tcPr>
          <w:p w14:paraId="7836A57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管控节点权限</w:t>
            </w:r>
          </w:p>
        </w:tc>
      </w:tr>
      <w:tr w14:paraId="3178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0BC6A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编排能力</w:t>
            </w:r>
          </w:p>
        </w:tc>
        <w:tc>
          <w:tcPr>
            <w:tcW w:w="2160" w:type="dxa"/>
          </w:tcPr>
          <w:p w14:paraId="51D285B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Compose（单机）</w:t>
            </w:r>
          </w:p>
        </w:tc>
        <w:tc>
          <w:tcPr>
            <w:tcW w:w="2160" w:type="dxa"/>
          </w:tcPr>
          <w:p w14:paraId="42F9085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Podman Compose</w:t>
            </w:r>
          </w:p>
        </w:tc>
        <w:tc>
          <w:tcPr>
            <w:tcW w:w="2160" w:type="dxa"/>
          </w:tcPr>
          <w:p w14:paraId="784ED83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自愈、滚动升级、弹性伸缩</w:t>
            </w:r>
          </w:p>
        </w:tc>
      </w:tr>
      <w:tr w14:paraId="1D997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4EB86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学习曲线</w:t>
            </w:r>
          </w:p>
        </w:tc>
        <w:tc>
          <w:tcPr>
            <w:tcW w:w="2160" w:type="dxa"/>
          </w:tcPr>
          <w:p w14:paraId="4FB5AEE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2160" w:type="dxa"/>
          </w:tcPr>
          <w:p w14:paraId="03F7CA4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2160" w:type="dxa"/>
          </w:tcPr>
          <w:p w14:paraId="384FB1F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陡</w:t>
            </w:r>
          </w:p>
        </w:tc>
      </w:tr>
      <w:tr w14:paraId="1FAF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576DB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适用规模</w:t>
            </w:r>
          </w:p>
        </w:tc>
        <w:tc>
          <w:tcPr>
            <w:tcW w:w="2160" w:type="dxa"/>
          </w:tcPr>
          <w:p w14:paraId="645CBB0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单机/开发与小规模部署</w:t>
            </w:r>
          </w:p>
        </w:tc>
        <w:tc>
          <w:tcPr>
            <w:tcW w:w="2160" w:type="dxa"/>
          </w:tcPr>
          <w:p w14:paraId="6004361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</w:t>
            </w:r>
          </w:p>
        </w:tc>
        <w:tc>
          <w:tcPr>
            <w:tcW w:w="2160" w:type="dxa"/>
          </w:tcPr>
          <w:p w14:paraId="3652C21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多机集群</w:t>
            </w:r>
          </w:p>
        </w:tc>
      </w:tr>
    </w:tbl>
    <w:p w14:paraId="72181580"/>
    <w:p w14:paraId="547A6BD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本项目全部服务在单台开发机运行、无跨主机与高可用诉求，Docker + Compose 成本最低；而 Compose 的服务、环境变量、数据卷、服务名 DNS 等概念与 K8s 的 Deployment、ConfigMap、PersistentVolume、Service 一脉相承，日后迁移路径平滑。</w:t>
      </w:r>
    </w:p>
    <w:p w14:paraId="289451B1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五、在本项目中的实践</w:t>
      </w:r>
    </w:p>
    <w:p w14:paraId="25A72B05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5.1 部署与配置</w:t>
      </w:r>
    </w:p>
    <w:p w14:paraId="0289592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本项目以一份 docker-compose.yml 编排 11 个容器、6 个具名数据卷、1 个 `campus_net` bridge 网络：</w:t>
      </w:r>
    </w:p>
    <w:p w14:paraId="18F929A7">
      <w:pPr>
        <w:jc w:val="center"/>
        <w:rPr>
          <w:rFonts w:hint="eastAsia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表2-1 项目容器服务清单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5D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20E00B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服务</w:t>
            </w:r>
          </w:p>
        </w:tc>
        <w:tc>
          <w:tcPr>
            <w:tcW w:w="2160" w:type="dxa"/>
            <w:shd w:val="clear" w:color="auto" w:fill="D9E2F3"/>
          </w:tcPr>
          <w:p w14:paraId="0CF1C8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镜像 / 构建</w:t>
            </w:r>
          </w:p>
        </w:tc>
        <w:tc>
          <w:tcPr>
            <w:tcW w:w="2160" w:type="dxa"/>
            <w:shd w:val="clear" w:color="auto" w:fill="D9E2F3"/>
          </w:tcPr>
          <w:p w14:paraId="1419D97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w="2160" w:type="dxa"/>
            <w:shd w:val="clear" w:color="auto" w:fill="D9E2F3"/>
          </w:tcPr>
          <w:p w14:paraId="7EE5CA0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宿主端口</w:t>
            </w:r>
          </w:p>
        </w:tc>
      </w:tr>
      <w:tr w14:paraId="35C8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43E298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zookeeper</w:t>
            </w:r>
          </w:p>
        </w:tc>
        <w:tc>
          <w:tcPr>
            <w:tcW w:w="2160" w:type="dxa"/>
          </w:tcPr>
          <w:p w14:paraId="2F9E24F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bitnami/zookeeper:3.9</w:t>
            </w:r>
          </w:p>
        </w:tc>
        <w:tc>
          <w:tcPr>
            <w:tcW w:w="2160" w:type="dxa"/>
          </w:tcPr>
          <w:p w14:paraId="55063DF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Kafka 协调服务</w:t>
            </w:r>
          </w:p>
        </w:tc>
        <w:tc>
          <w:tcPr>
            <w:tcW w:w="2160" w:type="dxa"/>
          </w:tcPr>
          <w:p w14:paraId="7D35B48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2181</w:t>
            </w:r>
          </w:p>
        </w:tc>
      </w:tr>
      <w:tr w14:paraId="1C55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3C6EEF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kafka</w:t>
            </w:r>
          </w:p>
        </w:tc>
        <w:tc>
          <w:tcPr>
            <w:tcW w:w="2160" w:type="dxa"/>
          </w:tcPr>
          <w:p w14:paraId="2813265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bitnami/kafka:3.6</w:t>
            </w:r>
          </w:p>
        </w:tc>
        <w:tc>
          <w:tcPr>
            <w:tcW w:w="2160" w:type="dxa"/>
          </w:tcPr>
          <w:p w14:paraId="294E9F7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消息中间件</w:t>
            </w:r>
          </w:p>
        </w:tc>
        <w:tc>
          <w:tcPr>
            <w:tcW w:w="2160" w:type="dxa"/>
          </w:tcPr>
          <w:p w14:paraId="4430219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9092</w:t>
            </w:r>
          </w:p>
        </w:tc>
      </w:tr>
      <w:tr w14:paraId="4B75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6BF655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namenode</w:t>
            </w:r>
          </w:p>
        </w:tc>
        <w:tc>
          <w:tcPr>
            <w:tcW w:w="2160" w:type="dxa"/>
          </w:tcPr>
          <w:p w14:paraId="3D21D0B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bde2020/hadoop-namenode:…-java8</w:t>
            </w:r>
          </w:p>
        </w:tc>
        <w:tc>
          <w:tcPr>
            <w:tcW w:w="2160" w:type="dxa"/>
          </w:tcPr>
          <w:p w14:paraId="10AEEA4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HDFS 元数据节点</w:t>
            </w:r>
          </w:p>
        </w:tc>
        <w:tc>
          <w:tcPr>
            <w:tcW w:w="2160" w:type="dxa"/>
          </w:tcPr>
          <w:p w14:paraId="7172EEB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9870/9000</w:t>
            </w:r>
          </w:p>
        </w:tc>
      </w:tr>
      <w:tr w14:paraId="0A72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DC604C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datanode</w:t>
            </w:r>
          </w:p>
        </w:tc>
        <w:tc>
          <w:tcPr>
            <w:tcW w:w="2160" w:type="dxa"/>
          </w:tcPr>
          <w:p w14:paraId="20010C3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bde2020/hadoop-datanode:…-java8</w:t>
            </w:r>
          </w:p>
        </w:tc>
        <w:tc>
          <w:tcPr>
            <w:tcW w:w="2160" w:type="dxa"/>
          </w:tcPr>
          <w:p w14:paraId="221950B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HDFS 数据节点</w:t>
            </w:r>
          </w:p>
        </w:tc>
        <w:tc>
          <w:tcPr>
            <w:tcW w:w="2160" w:type="dxa"/>
          </w:tcPr>
          <w:p w14:paraId="669294A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9864</w:t>
            </w:r>
          </w:p>
        </w:tc>
      </w:tr>
      <w:tr w14:paraId="3BD7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C12478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mongo</w:t>
            </w:r>
          </w:p>
        </w:tc>
        <w:tc>
          <w:tcPr>
            <w:tcW w:w="2160" w:type="dxa"/>
          </w:tcPr>
          <w:p w14:paraId="0AA7041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mongo:6</w:t>
            </w:r>
          </w:p>
        </w:tc>
        <w:tc>
          <w:tcPr>
            <w:tcW w:w="2160" w:type="dxa"/>
          </w:tcPr>
          <w:p w14:paraId="5F61D84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业务数据库</w:t>
            </w:r>
          </w:p>
        </w:tc>
        <w:tc>
          <w:tcPr>
            <w:tcW w:w="2160" w:type="dxa"/>
          </w:tcPr>
          <w:p w14:paraId="13D2DFE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27017</w:t>
            </w:r>
          </w:p>
        </w:tc>
      </w:tr>
      <w:tr w14:paraId="1D5D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825947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elasticsearch</w:t>
            </w:r>
          </w:p>
        </w:tc>
        <w:tc>
          <w:tcPr>
            <w:tcW w:w="2160" w:type="dxa"/>
          </w:tcPr>
          <w:p w14:paraId="4C4B110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elasticsearch:8.12.0</w:t>
            </w:r>
          </w:p>
        </w:tc>
        <w:tc>
          <w:tcPr>
            <w:tcW w:w="2160" w:type="dxa"/>
          </w:tcPr>
          <w:p w14:paraId="126B511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检索引擎（单节点）</w:t>
            </w:r>
          </w:p>
        </w:tc>
        <w:tc>
          <w:tcPr>
            <w:tcW w:w="2160" w:type="dxa"/>
          </w:tcPr>
          <w:p w14:paraId="2E2FBC7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9200</w:t>
            </w:r>
          </w:p>
        </w:tc>
      </w:tr>
      <w:tr w14:paraId="75B8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8E1CE0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kibana</w:t>
            </w:r>
          </w:p>
        </w:tc>
        <w:tc>
          <w:tcPr>
            <w:tcW w:w="2160" w:type="dxa"/>
          </w:tcPr>
          <w:p w14:paraId="66E8C81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kibana:8.12.0</w:t>
            </w:r>
          </w:p>
        </w:tc>
        <w:tc>
          <w:tcPr>
            <w:tcW w:w="2160" w:type="dxa"/>
          </w:tcPr>
          <w:p w14:paraId="28656F7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检索可视化</w:t>
            </w:r>
          </w:p>
        </w:tc>
        <w:tc>
          <w:tcPr>
            <w:tcW w:w="2160" w:type="dxa"/>
          </w:tcPr>
          <w:p w14:paraId="073ECBC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5601</w:t>
            </w:r>
          </w:p>
        </w:tc>
      </w:tr>
      <w:tr w14:paraId="15E5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FADE88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spring-boot</w:t>
            </w:r>
          </w:p>
        </w:tc>
        <w:tc>
          <w:tcPr>
            <w:tcW w:w="2160" w:type="dxa"/>
          </w:tcPr>
          <w:p w14:paraId="6E7FE50F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./backend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多阶段构建</w:t>
            </w:r>
          </w:p>
        </w:tc>
        <w:tc>
          <w:tcPr>
            <w:tcW w:w="2160" w:type="dxa"/>
          </w:tcPr>
          <w:p w14:paraId="74D58BC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业务后端（Java 17）</w:t>
            </w:r>
          </w:p>
        </w:tc>
        <w:tc>
          <w:tcPr>
            <w:tcW w:w="2160" w:type="dxa"/>
          </w:tcPr>
          <w:p w14:paraId="48D420F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不发布</w:t>
            </w:r>
          </w:p>
        </w:tc>
      </w:tr>
      <w:tr w14:paraId="27C0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355EC6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uav-simulator</w:t>
            </w:r>
          </w:p>
        </w:tc>
        <w:tc>
          <w:tcPr>
            <w:tcW w:w="2160" w:type="dxa"/>
          </w:tcPr>
          <w:p w14:paraId="5C636EBF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./simulator/uav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构建</w:t>
            </w:r>
          </w:p>
        </w:tc>
        <w:tc>
          <w:tcPr>
            <w:tcW w:w="2160" w:type="dxa"/>
          </w:tcPr>
          <w:p w14:paraId="4206124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无人机仿真（Python）</w:t>
            </w:r>
          </w:p>
        </w:tc>
        <w:tc>
          <w:tcPr>
            <w:tcW w:w="2160" w:type="dxa"/>
          </w:tcPr>
          <w:p w14:paraId="4463FAD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不发布</w:t>
            </w:r>
          </w:p>
        </w:tc>
      </w:tr>
      <w:tr w14:paraId="504D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E0B2BC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robo-simulator</w:t>
            </w:r>
          </w:p>
        </w:tc>
        <w:tc>
          <w:tcPr>
            <w:tcW w:w="2160" w:type="dxa"/>
          </w:tcPr>
          <w:p w14:paraId="2B61D9E4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./simulator/robo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构建</w:t>
            </w:r>
          </w:p>
        </w:tc>
        <w:tc>
          <w:tcPr>
            <w:tcW w:w="2160" w:type="dxa"/>
          </w:tcPr>
          <w:p w14:paraId="0A32B91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机器狗仿真（Python）</w:t>
            </w:r>
          </w:p>
        </w:tc>
        <w:tc>
          <w:tcPr>
            <w:tcW w:w="2160" w:type="dxa"/>
          </w:tcPr>
          <w:p w14:paraId="0E163E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不发布</w:t>
            </w:r>
          </w:p>
        </w:tc>
      </w:tr>
      <w:tr w14:paraId="6510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17B391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frontend</w:t>
            </w:r>
          </w:p>
        </w:tc>
        <w:tc>
          <w:tcPr>
            <w:tcW w:w="2160" w:type="dxa"/>
          </w:tcPr>
          <w:p w14:paraId="1BB4EC03">
            <w:pPr>
              <w:spacing w:before="40" w:after="40" w:line="240" w:lineRule="auto"/>
            </w:pPr>
            <w:r>
              <w:rPr>
                <w:rFonts w:ascii="Consolas" w:hAnsi="Consolas" w:eastAsia="Consolas"/>
                <w:sz w:val="20"/>
              </w:rPr>
              <w:t>./frontend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多阶段构建</w:t>
            </w:r>
          </w:p>
        </w:tc>
        <w:tc>
          <w:tcPr>
            <w:tcW w:w="2160" w:type="dxa"/>
          </w:tcPr>
          <w:p w14:paraId="1F6995F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Vue3 + Nginx 网关</w:t>
            </w:r>
          </w:p>
        </w:tc>
        <w:tc>
          <w:tcPr>
            <w:tcW w:w="2160" w:type="dxa"/>
          </w:tcPr>
          <w:p w14:paraId="645BE58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80（统一入口）</w:t>
            </w:r>
          </w:p>
        </w:tc>
      </w:tr>
    </w:tbl>
    <w:p w14:paraId="17EF430D"/>
    <w:p w14:paraId="6618A95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编排上有五点设计：其一，四个自研服务均用多阶段构建，后端用 Maven 镜像编译、仅把 JAR 拷入 JRE-Alpine 运行，前端用 Node 镜像构建、把 dist 拷入 Nginx，编译工具不进入最终镜像。其二，JVM 开启容器感知：-XX:+UseContainerSupport -XX:MaxRAMPercentage=75.0，让堆按 Cgroup 配额而非宿主机内存取值。其三，Kafka、Mongo、ES 定义 healthcheck，后端依赖条件收紧为 condition: service_healthy，确保中间件真正可用后才启动。其四，端口最小暴露：仅发布前端 80 端口，Nginx 在网内反代 /api/ 到 spring-boot:8080，外部无法绕过网关直连后端。其五，连接地址全部通过 KAFKA_HOST、MONGO_HOST 等环境变量注入，镜像不绑定具体环境。</w:t>
      </w:r>
    </w:p>
    <w:p w14:paraId="2A8D7565">
      <w:pPr>
        <w:pStyle w:val="4"/>
        <w:bidi w:val="0"/>
        <w:rPr>
          <w:rFonts w:hint="eastAsia"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</w:rPr>
        <w:t>5.2 遇到的问题与解决方案</w:t>
      </w:r>
    </w:p>
    <w:p w14:paraId="45ED927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问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题一：构建镜像时依赖下载频繁超时。 前端构建报 npm error code ETIMEDOUT ... registry.npmjs.org，拉基础镜像报 Get "https://registry-1.docker.io/v2/": ... Timeout exceeded。根因是构建容器直连境外源、网络丢包严重。解决分三层：在 daemon.json 配置国内镜像加速器；前端 Dockerfile 中固化 npm config set registry https://registry.npmmirror.com；并依靠"依赖清单先拷贝"的分层缓存，使日常改代码不再重复触发下载。</w:t>
      </w:r>
    </w:p>
    <w:p w14:paraId="71162DF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问题二：后端与仿真器早于中间件启动，连接被拒。 后端偶发 Mongo/Kafka 连接异常，仿真器抛 kafka.errors.NoBrokersAvailable，单独重启又恢复。根因是 depends_on 只保证容器"已启动"、不保证应用"已就绪"，而 Kafka、ES 都有初始化窗口。解决：为三个中间件配置 healthcheck，后端改为等待 service_healthy；仿真器代码捕获 NoBrokersAvailable 后每 5 秒重试，并配合 restart: unless-stopped 实现自愈。</w:t>
      </w:r>
    </w:p>
    <w:p w14:paraId="500FAF0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问题三：Elasticsearch 因内核参数过低退出。 日志报：</w:t>
      </w:r>
    </w:p>
    <w:p w14:paraId="18865C0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max virtual memory areas vm.max_map_count [65530] is too low,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increase to at least [262144]</w:t>
      </w:r>
    </w:p>
    <w:p w14:paraId="3227185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根因是 Lucene 需要大量内存映射，ES 启动时检查宿主内核参数——这正是"容器共享内核"的体现，容器自身无法修改该参数。Linux 宿主执行 sudo sysctl -w vm.max_map_count=262144 并写入 /etc/sysctl.conf；本项目 Windows + Docker Desktop（WSL2）环境由其自动调大。同时将 ES 设为单节点、固定 512 MB 堆、nofile 调到 65536。</w:t>
      </w:r>
    </w:p>
    <w:p w14:paraId="138C65C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问题四：Kafka 通告地址配置不当。 客户端能建立首次连接、元数据获取成功，但后续收发失败并反复 rebalance。根因是混淆了 listeners（实际监听地址）与 advertised.listeners（告诉客户端"下次用这个地址连我"）：若通告地址是 localhost，其他容器拿到后在自己的网络命名空间内不可达。解决：显式通告为 Compose 网络内服务名：</w:t>
      </w:r>
    </w:p>
    <w:p w14:paraId="18658C2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KAFKA_CFG_LISTENERS: PLAINTEXT://:9092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KAFKA_CFG_ADVERTISED_LISTENERS: PLAINTEXT://kafka:9092</w:t>
      </w:r>
    </w:p>
    <w:p w14:paraId="305048B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400" w:lineRule="exact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问题五：`docker logs` 长时间看不到仿真器输出。 容器运行正常、Kafka 中也有数据，但日志很久才刷出一片。根因是容器内 stdout 为管道而非终端，Python 自动切换为块缓冲。解决：两个仿真器启动命令加 -u 强制无缓冲——CMD ["python", "-u", "simulator.py"]，此后 docker logs -f 可实时观察心跳。</w:t>
      </w:r>
    </w:p>
    <w:p w14:paraId="69AD8B79">
      <w:pPr>
        <w:pStyle w:val="3"/>
        <w:bidi w:val="0"/>
      </w:pPr>
      <w:r>
        <w:t>参考文献</w:t>
      </w:r>
    </w:p>
    <w:p w14:paraId="79277938">
      <w:pPr>
        <w:ind w:firstLine="480"/>
      </w:pPr>
      <w:r>
        <w:rPr>
          <w:rFonts w:ascii="Times New Roman" w:hAnsi="Times New Roman" w:eastAsia="宋体"/>
        </w:rPr>
        <w:t>[1] Docker Inc. Docker Docs [EB/OL]. https://docs.docker/, 2026.</w:t>
      </w:r>
    </w:p>
    <w:p w14:paraId="1A01FBFC">
      <w:pPr>
        <w:ind w:firstLine="480"/>
      </w:pPr>
      <w:r>
        <w:rPr>
          <w:rFonts w:ascii="Times New Roman" w:hAnsi="Times New Roman" w:eastAsia="宋体"/>
        </w:rPr>
        <w:t>[2] Docker Inc. Docker Compose specification [EB/OL]. https://docs.docker.com/compose/compose-file/, 2026.</w:t>
      </w:r>
    </w:p>
    <w:p w14:paraId="6E90D944">
      <w:pPr>
        <w:ind w:firstLine="480"/>
      </w:pPr>
      <w:r>
        <w:rPr>
          <w:rFonts w:ascii="Times New Roman" w:hAnsi="Times New Roman" w:eastAsia="宋体"/>
        </w:rPr>
        <w:t>[3] Docker Inc. Multi-stage builds [EB/OL]. https://docs.docker.com/build/building/multi-stage/, 2026.</w:t>
      </w:r>
    </w:p>
    <w:p w14:paraId="2BE85F1C">
      <w:pPr>
        <w:ind w:firstLine="480"/>
      </w:pPr>
      <w:r>
        <w:rPr>
          <w:rFonts w:ascii="Times New Roman" w:hAnsi="Times New Roman" w:eastAsia="宋体"/>
        </w:rPr>
        <w:t>[4] Linux man-pages project. namespaces(7) [EB/OL]. https://man7.org/linux/man-pages/man7/namespaces.7.html, 2026.</w:t>
      </w:r>
    </w:p>
    <w:p w14:paraId="79914BCF">
      <w:pPr>
        <w:ind w:firstLine="480"/>
      </w:pPr>
      <w:r>
        <w:rPr>
          <w:rFonts w:ascii="Times New Roman" w:hAnsi="Times New Roman" w:eastAsia="宋体"/>
        </w:rPr>
        <w:t>[5] Apache Kafka Project. Broker configuration: listeners and advertised.listeners [EB/OL]. https://kafka.apache.org/documentation/#brokerconfigs, 2026.</w:t>
      </w:r>
    </w:p>
    <w:p w14:paraId="29E0ADC6">
      <w:pPr>
        <w:ind w:firstLine="480"/>
      </w:pPr>
      <w:r>
        <w:rPr>
          <w:rFonts w:ascii="Times New Roman" w:hAnsi="Times New Roman" w:eastAsia="宋体"/>
        </w:rPr>
        <w:t>[6] Elastic N.V. Elasticsearch important system configuration [EB/OL]. https://www.elastic.co/guide/en/elasticsearch/reference/8.12/system-config.html, 2026.</w:t>
      </w:r>
    </w:p>
    <w:p w14:paraId="0616F562">
      <w:pPr>
        <w:ind w:firstLine="480"/>
      </w:pPr>
      <w:r>
        <w:rPr>
          <w:rFonts w:ascii="Times New Roman" w:hAnsi="Times New Roman" w:eastAsia="宋体"/>
        </w:rPr>
        <w:t>[7] 浙江大学 SEL 实验室. Docker 容器与容器云（第 2 版）[M]. 北京: 人民邮电出版社, 2016.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B275F4"/>
    <w:rsid w:val="768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3494</Words>
  <Characters>6074</Characters>
  <Lines>0</Lines>
  <Paragraphs>0</Paragraphs>
  <TotalTime>11</TotalTime>
  <ScaleCrop>false</ScaleCrop>
  <LinksUpToDate>false</LinksUpToDate>
  <CharactersWithSpaces>6546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WPS_1694877720</cp:lastModifiedBy>
  <dcterms:modified xsi:type="dcterms:W3CDTF">2026-09-24T00:48:08Z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eyJoZGlkIjoiMWJkMzdiN2Y1OGI1MmRjNzMxMzQ1ODUzZTk3YzlkYTQiLCJ1c2VySWQiOiIxNTM1NzgyMjQ1In0=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881021494D77444CA00A5A6BE1D9DDC3_12</vt:lpwstr>
  </property>
</Properties>
</file>