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B4731">
      <w:pPr>
        <w:pStyle w:val="3"/>
        <w:spacing w:after="360"/>
        <w:ind w:firstLine="0"/>
        <w:jc w:val="center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44"/>
        </w:rPr>
        <w:t>个人自我总结报告</w:t>
      </w:r>
    </w:p>
    <w:p w14:paraId="6FE64A2E">
      <w:pPr>
        <w:spacing w:after="240"/>
        <w:ind w:firstLine="0"/>
        <w:jc w:val="both"/>
        <w:rPr>
          <w:rFonts w:ascii="Times New Roman" w:hAnsi="Times New Roman" w:eastAsia="宋体"/>
          <w:b w:val="0"/>
          <w:bCs w:val="0"/>
          <w:sz w:val="28"/>
        </w:rPr>
      </w:pPr>
      <w:r>
        <w:rPr>
          <w:rFonts w:ascii="Times New Roman" w:hAnsi="Times New Roman" w:eastAsia="宋体"/>
          <w:b w:val="0"/>
          <w:bCs w:val="0"/>
          <w:sz w:val="28"/>
        </w:rPr>
        <w:t>姓名：</w:t>
      </w:r>
      <w:r>
        <w:rPr>
          <w:rFonts w:hint="eastAsia"/>
          <w:b w:val="0"/>
          <w:bCs w:val="0"/>
          <w:sz w:val="28"/>
          <w:lang w:val="en-US" w:eastAsia="zh-CN"/>
        </w:rPr>
        <w:t>陈明政</w:t>
      </w:r>
      <w:r>
        <w:rPr>
          <w:rFonts w:ascii="Times New Roman" w:hAnsi="Times New Roman" w:eastAsia="宋体"/>
          <w:b w:val="0"/>
          <w:bCs w:val="0"/>
          <w:sz w:val="28"/>
        </w:rPr>
        <w:t>　学号：</w:t>
      </w:r>
      <w:r>
        <w:rPr>
          <w:rFonts w:hint="eastAsia"/>
          <w:b w:val="0"/>
          <w:bCs w:val="0"/>
          <w:sz w:val="28"/>
          <w:lang w:val="en-US" w:eastAsia="zh-CN"/>
        </w:rPr>
        <w:t>12323020405</w:t>
      </w:r>
      <w:r>
        <w:rPr>
          <w:rFonts w:ascii="Times New Roman" w:hAnsi="Times New Roman" w:eastAsia="宋体"/>
          <w:b w:val="0"/>
          <w:bCs w:val="0"/>
          <w:sz w:val="28"/>
        </w:rPr>
        <w:t>　</w:t>
      </w:r>
    </w:p>
    <w:p w14:paraId="6FB47DC2">
      <w:pPr>
        <w:spacing w:after="240"/>
        <w:jc w:val="both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  <w:sz w:val="28"/>
        </w:rPr>
        <w:t>日期：</w:t>
      </w:r>
      <w:r>
        <w:rPr>
          <w:rFonts w:hint="eastAsia"/>
          <w:b w:val="0"/>
          <w:bCs w:val="0"/>
          <w:sz w:val="28"/>
          <w:lang w:val="en-US" w:eastAsia="zh-CN"/>
        </w:rPr>
        <w:t>2026</w:t>
      </w:r>
      <w:r>
        <w:rPr>
          <w:rFonts w:ascii="Times New Roman" w:hAnsi="Times New Roman" w:eastAsia="宋体"/>
          <w:b w:val="0"/>
          <w:bCs w:val="0"/>
          <w:sz w:val="28"/>
        </w:rPr>
        <w:t>年</w:t>
      </w:r>
      <w:r>
        <w:rPr>
          <w:rFonts w:hint="eastAsia"/>
          <w:b w:val="0"/>
          <w:bCs w:val="0"/>
          <w:sz w:val="28"/>
          <w:lang w:val="en-US" w:eastAsia="zh-CN"/>
        </w:rPr>
        <w:t>9</w:t>
      </w:r>
      <w:r>
        <w:rPr>
          <w:rFonts w:ascii="Times New Roman" w:hAnsi="Times New Roman" w:eastAsia="宋体"/>
          <w:b w:val="0"/>
          <w:bCs w:val="0"/>
          <w:sz w:val="28"/>
        </w:rPr>
        <w:t>月</w:t>
      </w:r>
      <w:r>
        <w:rPr>
          <w:rFonts w:hint="eastAsia"/>
          <w:b w:val="0"/>
          <w:bCs w:val="0"/>
          <w:sz w:val="28"/>
          <w:lang w:val="en-US" w:eastAsia="zh-CN"/>
        </w:rPr>
        <w:t>4</w:t>
      </w:r>
      <w:r>
        <w:rPr>
          <w:rFonts w:ascii="Times New Roman" w:hAnsi="Times New Roman" w:eastAsia="宋体"/>
          <w:b w:val="0"/>
          <w:bCs w:val="0"/>
          <w:sz w:val="28"/>
        </w:rPr>
        <w:t>日</w:t>
      </w:r>
    </w:p>
    <w:p w14:paraId="0EFEAF20">
      <w:pPr>
        <w:rPr>
          <w:rFonts w:ascii="Times New Roman" w:hAnsi="Times New Roman" w:eastAsia="黑体"/>
          <w:b w:val="0"/>
          <w:bCs w:val="0"/>
          <w:sz w:val="32"/>
        </w:rPr>
      </w:pPr>
      <w:r>
        <w:rPr>
          <w:rFonts w:ascii="Times New Roman" w:hAnsi="Times New Roman" w:eastAsia="黑体"/>
          <w:b w:val="0"/>
          <w:bCs w:val="0"/>
          <w:sz w:val="32"/>
        </w:rPr>
        <w:br w:type="page"/>
      </w:r>
    </w:p>
    <w:p w14:paraId="60FB5A40">
      <w:pPr>
        <w:pStyle w:val="4"/>
        <w:rPr>
          <w:b w:val="0"/>
          <w:bCs w:val="0"/>
        </w:rPr>
      </w:pPr>
      <w:bookmarkStart w:id="0" w:name="_GoBack"/>
      <w:bookmarkEnd w:id="0"/>
      <w:r>
        <w:rPr>
          <w:rFonts w:ascii="Times New Roman" w:hAnsi="Times New Roman" w:eastAsia="黑体"/>
          <w:b w:val="0"/>
          <w:bCs w:val="0"/>
          <w:sz w:val="32"/>
        </w:rPr>
        <w:t>一、个人参与工作</w:t>
      </w:r>
    </w:p>
    <w:p w14:paraId="273AC0CF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1.1 承担的角色与职责范围</w:t>
      </w:r>
    </w:p>
    <w:p w14:paraId="382C739A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按小组分工表，我在本项目中共承担两个角色：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78F1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1311AEE6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角色</w:t>
            </w:r>
          </w:p>
        </w:tc>
        <w:tc>
          <w:tcPr>
            <w:tcW w:w="2880" w:type="dxa"/>
            <w:shd w:val="clear" w:color="auto" w:fill="D9E2F3"/>
          </w:tcPr>
          <w:p w14:paraId="5C487108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职责范围</w:t>
            </w:r>
          </w:p>
        </w:tc>
        <w:tc>
          <w:tcPr>
            <w:tcW w:w="2880" w:type="dxa"/>
            <w:shd w:val="clear" w:color="auto" w:fill="D9E2F3"/>
          </w:tcPr>
          <w:p w14:paraId="0C3CE79D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交付的主要成果</w:t>
            </w:r>
          </w:p>
        </w:tc>
      </w:tr>
      <w:tr w14:paraId="2172E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FBA1B5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架构与设计负责人</w:t>
            </w:r>
          </w:p>
        </w:tc>
        <w:tc>
          <w:tcPr>
            <w:tcW w:w="2880" w:type="dxa"/>
          </w:tcPr>
          <w:p w14:paraId="6C4FFCE7">
            <w:pPr>
              <w:spacing w:before="40" w:after="40" w:line="240" w:lineRule="auto"/>
              <w:rPr>
                <w:rFonts w:hint="eastAsia" w:eastAsia="宋体"/>
                <w:b w:val="0"/>
                <w:bCs w:val="0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需求分析、总体架构设计、组件技术选型</w:t>
            </w:r>
            <w:r>
              <w:rPr>
                <w:rFonts w:hint="eastAsia"/>
                <w:b w:val="0"/>
                <w:bCs w:val="0"/>
                <w:sz w:val="21"/>
                <w:lang w:eastAsia="zh-CN"/>
              </w:rPr>
              <w:t>，</w:t>
            </w:r>
            <w:r>
              <w:rPr>
                <w:rFonts w:hint="eastAsia"/>
                <w:b w:val="0"/>
                <w:bCs w:val="0"/>
                <w:sz w:val="21"/>
                <w:lang w:val="en-US" w:eastAsia="zh-CN"/>
              </w:rPr>
              <w:t>容器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部署、配置调优与排错</w:t>
            </w:r>
          </w:p>
        </w:tc>
        <w:tc>
          <w:tcPr>
            <w:tcW w:w="2880" w:type="dxa"/>
          </w:tcPr>
          <w:p w14:paraId="7112913B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需求分析文档（41 个用例）、总体架构与技术选型报告、全套架构图、影像文件通道重构方案、微服务演进路线</w:t>
            </w:r>
          </w:p>
        </w:tc>
      </w:tr>
    </w:tbl>
    <w:p w14:paraId="3DDE1DD6">
      <w:pPr>
        <w:rPr>
          <w:b w:val="0"/>
          <w:bCs w:val="0"/>
        </w:rPr>
      </w:pPr>
    </w:p>
    <w:p w14:paraId="75CBD93E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1.2 需求分析与总体架构设计</w:t>
      </w:r>
    </w:p>
    <w:p w14:paraId="4DB6F3E8">
      <w:pPr>
        <w:pStyle w:val="19"/>
        <w:adjustRightInd w:val="0"/>
        <w:spacing w:after="0" w:line="400" w:lineRule="exact"/>
        <w:ind w:firstLine="480" w:firstLineChars="200"/>
        <w:jc w:val="both"/>
        <w:outlineLvl w:val="9"/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/>
        </w:rPr>
        <w:t>需求分析。项目选题是“园区安防场景下的无人机-机器狗空地协同巡检”。我从场景出发，先划清系统边界（谁在用、系统负责什么、什么不属于本期范围），再逐条分解为 41 个用例（UC-01 ~ UC-41），覆盖设备接入、任务闭环、告警处置、检索统计、台账权限五个功能域。</w:t>
      </w:r>
    </w:p>
    <w:p w14:paraId="1D8F7D7E">
      <w:pPr>
        <w:pStyle w:val="19"/>
        <w:adjustRightInd w:val="0"/>
        <w:spacing w:after="0" w:line="400" w:lineRule="exact"/>
        <w:ind w:firstLine="480" w:firstLineChars="200"/>
        <w:jc w:val="both"/>
        <w:outlineLvl w:val="9"/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/>
        </w:rPr>
        <w:t>需求阶段的重点不是“罗列功能”，而是给每条需求规定可验收的判据。例如“设备离线检测”这条，不能只写“设备掉线要报警”，而要写明触发条件（心跳超时 15 秒）、扫描周期（每 5 秒一次）、状态迁移目标（在线 → 离线）以及验收用例编号（TC-01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 w:bidi="ar-SA"/>
        </w:rPr>
        <w:t>0）。这样后端实现和测试用例编写可以并行推进，也避免了后期“这条算不算做完”的扯皮。事后来看，这份“用例—判据”清单直接成了测试同学的输入。</w:t>
      </w:r>
    </w:p>
    <w:p w14:paraId="11D9686A">
      <w:pPr>
        <w:pStyle w:val="19"/>
        <w:adjustRightInd w:val="0"/>
        <w:spacing w:after="0" w:line="400" w:lineRule="exact"/>
        <w:ind w:firstLine="480" w:firstLineChars="200"/>
        <w:jc w:val="both"/>
        <w:outlineLvl w:val="9"/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/>
        </w:rPr>
      </w:pPr>
      <w:r>
        <w:rPr>
          <w:rFonts w:ascii="Times New Roman" w:hAnsi="Times New Roman" w:eastAsia="宋体"/>
          <w:b w:val="0"/>
          <w:bCs w:val="0"/>
        </w:rPr>
        <w:t>总体架构。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/>
        </w:rPr>
        <w:t>系统划分为七层：可视化层（Vue3 + GIS）、网关层（Nginx）、业务服务层、消息中间件层（Kafka）、存储层（MongoDB + HDFS）、检索层（Elasticsearch）、设备仿真层。</w:t>
      </w:r>
    </w:p>
    <w:p w14:paraId="7EE0BEF7">
      <w:pPr>
        <w:pStyle w:val="19"/>
        <w:adjustRightInd w:val="0"/>
        <w:spacing w:after="0" w:line="400" w:lineRule="exact"/>
        <w:ind w:firstLine="480" w:firstLineChars="200"/>
        <w:jc w:val="both"/>
        <w:outlineLvl w:val="9"/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/>
        </w:rPr>
        <w:t>分层本身不难，难的是把“依赖方向”讲清楚。本项目有一个容易引起误解的地方：业务上存在两条异步消息链构成的闭环（设备上报 → Kafka → 业务消费；业务发布指令 → Kafka → 设备订阅），画在图上看起来像循环依赖。我在架构文档中专门用一节澄清：代码依赖上，设备仿真与业务服务各自只持有 Kafka 客户端，互不持有对方接口，因此不构成循环依赖——消息中间件的作用正是把“上报—下发”这个环从直接调用中切开。同一节里我还留了一条“反面教材”：如果把任务下发做成业务服务同步 HTTP 直调设备仿真端，那才是真正的依赖环。这条后来在影像通道重构时被证明是有预见性的。</w:t>
      </w:r>
    </w:p>
    <w:p w14:paraId="5AD8F4FA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1.3 组件技术选型</w:t>
      </w:r>
    </w:p>
    <w:p w14:paraId="39210982">
      <w:pPr>
        <w:ind w:firstLine="480"/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 w:bidi="ar-SA"/>
        </w:rPr>
        <w:t>课程要求覆盖 HDFS、MongoDB/HBase、Kafka/RocketMQ、Elasticsearch、Nginx、Docker 六类组件。我对每一项都做了多方案比选并写明判据，而不是直接给出结论：</w:t>
      </w:r>
    </w:p>
    <w:p w14:paraId="20539F94">
      <w:pPr>
        <w:pStyle w:val="16"/>
        <w:spacing w:before="0" w:after="0"/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 w:bidi="ar-SA"/>
        </w:rPr>
        <w:t>分布式文件系统：选 HDFS 而非 MinIO。判据是巡检影像属于“大文件、一次写入多次读取”的典型场景，契合 HDFS 的定位；MinIO 部署更轻量但偏离课程考核范围。</w:t>
      </w:r>
    </w:p>
    <w:p w14:paraId="1EED0E96">
      <w:pPr>
        <w:pStyle w:val="16"/>
        <w:spacing w:before="0" w:after="0"/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 w:bidi="ar-SA"/>
        </w:rPr>
        <w:t>消息中间件：选 Kafka 而非 RocketMQ。判据是设备高频心跳与巡检数据属于典型高吞吐流式场景；且 KRaft 模式免去 ZooKeeper 依赖，显著简化单机容器部署。</w:t>
      </w:r>
    </w:p>
    <w:p w14:paraId="119BC040">
      <w:pPr>
        <w:pStyle w:val="16"/>
        <w:spacing w:before="0" w:after="0"/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 w:bidi="ar-SA"/>
        </w:rPr>
        <w:t>结构化数据库：选 MongoDB 而非 HBase。判据是本项目需要的是灵活文档模型与地理空间索引，而非 HBase 强依赖 HDFS + ZooKeeper 的重型列存。</w:t>
      </w:r>
    </w:p>
    <w:p w14:paraId="29529BC3">
      <w:pPr>
        <w:pStyle w:val="16"/>
        <w:spacing w:before="0" w:after="0"/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 w:bidi="ar-SA"/>
        </w:rPr>
        <w:t>统一技术栈：Kafka、HDFS、Elasticsearch 的官方客户端都以 Java 为一等公民，因此后端统一 Java、形成“设备上报 → 消息消费 → 存储写入 → 检索查询”的一条 Java 链路，降低跨语言集成与排错成本。</w:t>
      </w:r>
    </w:p>
    <w:p w14:paraId="2443EFF8">
      <w:pPr>
        <w:ind w:firstLine="480"/>
        <w:rPr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 w:bidi="ar-SA"/>
        </w:rPr>
        <w:t>比选过程中我刻意保留了没有被选中的那些方案的落选理由，因为这恰恰是评阅老师最容易追问的地方。</w:t>
      </w:r>
    </w:p>
    <w:p w14:paraId="6BEA6F10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1.4 影像文件通道重构</w:t>
      </w:r>
    </w:p>
    <w:p w14:paraId="148CD250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问题。初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  <w:lang w:val="en-US" w:eastAsia="en-US" w:bidi="ar-SA"/>
        </w:rPr>
        <w:t>版实现里，仿真设备把影像写到本地磁盘，然后把本地绝对路径塞进 Kafka 消息；平台消费到消息后，按这个路径去读文件、再上传 HDFS。这条链路成立的前提是“设备与平台共享同一个文件系统”——而这个前提根本不成立，只是被 Docker 的绑定挂载人为制造出来的假象。它带来四个后果：</w:t>
      </w:r>
    </w:p>
    <w:p w14:paraId="0D39E938">
      <w:pPr>
        <w:pStyle w:val="14"/>
        <w:spacing w:before="0" w:after="0"/>
        <w:rPr>
          <w:b w:val="0"/>
          <w:bCs w:val="0"/>
          <w:lang w:val="en-US" w:eastAsia="en-US"/>
        </w:rPr>
      </w:pPr>
      <w:r>
        <w:rPr>
          <w:rFonts w:ascii="Times New Roman" w:hAnsi="Times New Roman" w:eastAsia="宋体"/>
          <w:b w:val="0"/>
          <w:bCs w:val="0"/>
        </w:rPr>
        <w:t>契约污染：</w:t>
      </w:r>
      <w:r>
        <w:rPr>
          <w:b w:val="0"/>
          <w:bCs w:val="0"/>
          <w:lang w:val="en-US" w:eastAsia="en-US"/>
        </w:rPr>
        <w:t>消息里出现了 localPath，而跨系统契约应该传“标识”而不是“位置”；</w:t>
      </w:r>
    </w:p>
    <w:p w14:paraId="1799A0EB">
      <w:pPr>
        <w:pStyle w:val="14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平台做无用功：文件被平台读一遍再写一遍，等于搬运了两倍数据；</w:t>
      </w:r>
    </w:p>
    <w:p w14:paraId="5FDD2943">
      <w:pPr>
        <w:pStyle w:val="14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平台成为带宽与内存瓶颈：大文件全部压在业务服务上；</w:t>
      </w:r>
    </w:p>
    <w:p w14:paraId="3261D64D">
      <w:pPr>
        <w:pStyle w:val="14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环境耦合：仿真端在 Windows、业务服务在 Linux 容器中，路径分隔符不一致。</w:t>
      </w:r>
    </w:p>
    <w:p w14:paraId="5916F894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方案。我调研了文件传输的几种方式——文件本体走消息、共享文件系统、设备直传存储、平台提供上传入口、预签名 URL——逐一分析其可行性与代价，最终选定设备直传 HDFS + 平台身份门禁：</w:t>
      </w:r>
    </w:p>
    <w:p w14:paraId="0D869CE7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几个关键的设计判断：</w:t>
      </w:r>
    </w:p>
    <w:p w14:paraId="48742561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路径由平台签发，设备只是执行者。 这样平台仍然掌握存储布局的控制权，而不是把路径规范交给设备维护。</w:t>
      </w:r>
    </w:p>
    <w:p w14:paraId="509AFB86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平台侧不搬运字节，但保留读取能力。 写入方向归设备、读取方向归平台，</w:t>
      </w:r>
      <w:r>
        <w:rPr>
          <w:rFonts w:ascii="Consolas" w:hAnsi="Consolas" w:eastAsia="Consolas"/>
          <w:b w:val="0"/>
          <w:bCs w:val="0"/>
          <w:sz w:val="20"/>
        </w:rPr>
        <w:t>HdfsService</w:t>
      </w:r>
      <w:r>
        <w:rPr>
          <w:rFonts w:ascii="Times New Roman" w:hAnsi="Times New Roman" w:eastAsia="宋体"/>
          <w:b w:val="0"/>
          <w:bCs w:val="0"/>
        </w:rPr>
        <w:t xml:space="preserve"> 只保留 </w:t>
      </w:r>
      <w:r>
        <w:rPr>
          <w:rFonts w:ascii="Consolas" w:hAnsi="Consolas" w:eastAsia="Consolas"/>
          <w:b w:val="0"/>
          <w:bCs w:val="0"/>
          <w:sz w:val="20"/>
        </w:rPr>
        <w:t>download()</w:t>
      </w:r>
      <w:r>
        <w:rPr>
          <w:rFonts w:ascii="Times New Roman" w:hAnsi="Times New Roman" w:eastAsia="宋体"/>
          <w:b w:val="0"/>
          <w:bCs w:val="0"/>
        </w:rPr>
        <w:t xml:space="preserve"> 在主链路上。</w:t>
      </w:r>
    </w:p>
    <w:p w14:paraId="4D70FED2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应用层强制力替代存储层鉴权。 HDFS 未开启鉴权（</w:t>
      </w:r>
      <w:r>
        <w:rPr>
          <w:rFonts w:ascii="Consolas" w:hAnsi="Consolas" w:eastAsia="Consolas"/>
          <w:b w:val="0"/>
          <w:bCs w:val="0"/>
          <w:sz w:val="20"/>
        </w:rPr>
        <w:t>dfs.permissions.enabled=false</w:t>
      </w:r>
      <w:r>
        <w:rPr>
          <w:rFonts w:ascii="Times New Roman" w:hAnsi="Times New Roman" w:eastAsia="宋体"/>
          <w:b w:val="0"/>
          <w:bCs w:val="0"/>
        </w:rPr>
        <w:t>），存储层没有强制力，理论上设备可以绕过平台直写。但绕过平台的上传会因“路径不符合平台签发规范”而在元数据入库环节被拒绝——检索不到、用不了，等于没传。这是一个明确权衡后的取舍，我在文档里如实写明了它是脆弱点，而不是假装解决了。</w:t>
      </w:r>
    </w:p>
    <w:p w14:paraId="3B3FA71A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为将来升级预留空间。 预签名 URL（业界标准做法）是更优解，但需要实现凭证签发与校验服务，超出课程项目的合理范围。本方案在架构方向上与之一致，后续升级时平台侧代码无需改动。</w:t>
      </w:r>
    </w:p>
    <w:p w14:paraId="2842EE3C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收益：契约不再含路径；平台侧从“2 次数据库写 + 3 次 HDFS HTTP”降为“1 次数据库写”；业务闭环中“设备直连平台”的担忧被限制为一次轻量的授权调用，未形成依赖环。</w:t>
      </w:r>
    </w:p>
    <w:p w14:paraId="145F9924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1.5 架构文档体系</w:t>
      </w:r>
    </w:p>
    <w:p w14:paraId="2B6089C2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除设计本身，我还产出并维护了配套的架构文档：</w:t>
      </w:r>
      <w:r>
        <w:rPr>
          <w:rFonts w:ascii="Consolas" w:hAnsi="Consolas" w:eastAsia="Consolas"/>
          <w:b w:val="0"/>
          <w:bCs w:val="0"/>
          <w:sz w:val="20"/>
        </w:rPr>
        <w:t>架构图详解.md</w:t>
      </w:r>
      <w:r>
        <w:rPr>
          <w:rFonts w:ascii="Times New Roman" w:hAnsi="Times New Roman" w:eastAsia="宋体"/>
          <w:b w:val="0"/>
          <w:bCs w:val="0"/>
        </w:rPr>
        <w:t>（讲清 C1 上下文 / C2 容器 / C4 代码各视图分别回答什么问题，并给出全套 Mermaid 图）、</w:t>
      </w:r>
      <w:r>
        <w:rPr>
          <w:rFonts w:ascii="Consolas" w:hAnsi="Consolas" w:eastAsia="Consolas"/>
          <w:b w:val="0"/>
          <w:bCs w:val="0"/>
          <w:sz w:val="20"/>
        </w:rPr>
        <w:t>接口设计说明.md</w:t>
      </w:r>
      <w:r>
        <w:rPr>
          <w:rFonts w:ascii="Times New Roman" w:hAnsi="Times New Roman" w:eastAsia="宋体"/>
          <w:b w:val="0"/>
          <w:bCs w:val="0"/>
        </w:rPr>
        <w:t>、</w:t>
      </w:r>
      <w:r>
        <w:rPr>
          <w:rFonts w:ascii="Consolas" w:hAnsi="Consolas" w:eastAsia="Consolas"/>
          <w:b w:val="0"/>
          <w:bCs w:val="0"/>
          <w:sz w:val="20"/>
        </w:rPr>
        <w:t>微服务演进路线.md</w:t>
      </w:r>
      <w:r>
        <w:rPr>
          <w:rFonts w:ascii="Times New Roman" w:hAnsi="Times New Roman" w:eastAsia="宋体"/>
          <w:b w:val="0"/>
          <w:bCs w:val="0"/>
        </w:rPr>
        <w:t>（模块化单体 → 分阶段拆服务的路径与判据）。</w:t>
      </w:r>
    </w:p>
    <w:p w14:paraId="614D1BF6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其中《架构图详解》我特意加了一节“常见误区”，核心一条是：画的每一根线都应该能在源码、配置或 topic 里找到对应物。这条标准后来真的抓住了错误——影像通道重构完成后，架构图里仍有“业务服务 → 读写 → HDFS”和时序图里“业务服务把图片写入 HDFS”这样的旧口径残留，与代码不符。我据此把分层图、上下文图、时序图、部署图四处一并修正，并把“设备侧有消息通道与文件通道两条独立通路”在图和读图要点里都点明。</w:t>
      </w:r>
    </w:p>
    <w:p w14:paraId="25B8CE79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1.6 中间件部署与运维</w:t>
      </w:r>
    </w:p>
    <w:p w14:paraId="44BFF451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容器编排。平台侧用 Docker Compose 编排 9 个容器（6 类中间件 + 2 个业务服务实例 + Nginx 网关）。编排上做了几个刻意的安排：</w:t>
      </w:r>
    </w:p>
    <w:p w14:paraId="60855E63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设备仿真端不并入平台编排，而通过 </w:t>
      </w:r>
      <w:r>
        <w:rPr>
          <w:rFonts w:ascii="Consolas" w:hAnsi="Consolas" w:eastAsia="Consolas"/>
          <w:b w:val="0"/>
          <w:bCs w:val="0"/>
          <w:sz w:val="20"/>
        </w:rPr>
        <w:t>profiles: ["sim"]</w:t>
      </w:r>
      <w:r>
        <w:rPr>
          <w:rFonts w:ascii="Times New Roman" w:hAnsi="Times New Roman" w:eastAsia="宋体"/>
          <w:b w:val="0"/>
          <w:bCs w:val="0"/>
        </w:rPr>
        <w:t xml:space="preserve"> 控制、默认不启动。理由是它代表系统外部的参与者（真实的无人机与机器狗），逻辑上不属于平台。演示时 </w:t>
      </w:r>
      <w:r>
        <w:rPr>
          <w:rFonts w:ascii="Consolas" w:hAnsi="Consolas" w:eastAsia="Consolas"/>
          <w:b w:val="0"/>
          <w:bCs w:val="0"/>
          <w:sz w:val="20"/>
        </w:rPr>
        <w:t>--profile sim</w:t>
      </w:r>
      <w:r>
        <w:rPr>
          <w:rFonts w:ascii="Times New Roman" w:hAnsi="Times New Roman" w:eastAsia="宋体"/>
          <w:b w:val="0"/>
          <w:bCs w:val="0"/>
        </w:rPr>
        <w:t xml:space="preserve"> 一起拉起，日常开发则保持边界干净。</w:t>
      </w:r>
    </w:p>
    <w:p w14:paraId="2B042869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两个业务服务实例 + Nginx upstream 轮询，为负载均衡演示留出空间。</w:t>
      </w:r>
    </w:p>
    <w:p w14:paraId="0108D303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Kafka 配置双 listener：容器内用 </w:t>
      </w:r>
      <w:r>
        <w:rPr>
          <w:rFonts w:ascii="Consolas" w:hAnsi="Consolas" w:eastAsia="Consolas"/>
          <w:b w:val="0"/>
          <w:bCs w:val="0"/>
          <w:sz w:val="20"/>
        </w:rPr>
        <w:t>kafka:9092</w:t>
      </w:r>
      <w:r>
        <w:rPr>
          <w:rFonts w:ascii="Times New Roman" w:hAnsi="Times New Roman" w:eastAsia="宋体"/>
          <w:b w:val="0"/>
          <w:bCs w:val="0"/>
        </w:rPr>
        <w:t xml:space="preserve">、宿主机用 </w:t>
      </w:r>
      <w:r>
        <w:rPr>
          <w:rFonts w:ascii="Consolas" w:hAnsi="Consolas" w:eastAsia="Consolas"/>
          <w:b w:val="0"/>
          <w:bCs w:val="0"/>
          <w:sz w:val="20"/>
        </w:rPr>
        <w:t>localhost:19092</w:t>
      </w:r>
      <w:r>
        <w:rPr>
          <w:rFonts w:ascii="Times New Roman" w:hAnsi="Times New Roman" w:eastAsia="宋体"/>
          <w:b w:val="0"/>
          <w:bCs w:val="0"/>
        </w:rPr>
        <w:t>，以同时支持“容器化运行”和“在 IDEA 里本地跑仿真端”两种开发模式。</w:t>
      </w:r>
    </w:p>
    <w:p w14:paraId="3D82EB72">
      <w:pPr>
        <w:pStyle w:val="16"/>
        <w:spacing w:before="0" w:after="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所有中间件固定镜像版本，规避多组件版本冲突。</w:t>
      </w:r>
    </w:p>
    <w:p w14:paraId="24B02A2A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各组件的部署要点：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E079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43D6E7CE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组件</w:t>
            </w:r>
          </w:p>
        </w:tc>
        <w:tc>
          <w:tcPr>
            <w:tcW w:w="4320" w:type="dxa"/>
            <w:shd w:val="clear" w:color="auto" w:fill="D9E2F3"/>
          </w:tcPr>
          <w:p w14:paraId="4DB8B07D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部署要点</w:t>
            </w:r>
          </w:p>
        </w:tc>
      </w:tr>
      <w:tr w14:paraId="74899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178F164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HDFS</w:t>
            </w:r>
          </w:p>
        </w:tc>
        <w:tc>
          <w:tcPr>
            <w:tcW w:w="4320" w:type="dxa"/>
          </w:tcPr>
          <w:p w14:paraId="2811BB75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NameNode + DataNode 两容器；</w:t>
            </w:r>
            <w:r>
              <w:rPr>
                <w:rFonts w:ascii="Consolas" w:hAnsi="Consolas" w:eastAsia="Consolas"/>
                <w:b w:val="0"/>
                <w:bCs w:val="0"/>
                <w:sz w:val="20"/>
              </w:rPr>
              <w:t>9870:9870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 xml:space="preserve"> 暴露 WebHDFS，</w:t>
            </w:r>
            <w:r>
              <w:rPr>
                <w:rFonts w:ascii="Consolas" w:hAnsi="Consolas" w:eastAsia="Consolas"/>
                <w:b w:val="0"/>
                <w:bCs w:val="0"/>
                <w:sz w:val="20"/>
              </w:rPr>
              <w:t>9000:8020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 xml:space="preserve"> 映射 RPC 端口；关闭权限校验以便演示</w:t>
            </w:r>
          </w:p>
        </w:tc>
      </w:tr>
      <w:tr w14:paraId="0C49A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F5FA6CB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MongoDB</w:t>
            </w:r>
          </w:p>
        </w:tc>
        <w:tc>
          <w:tcPr>
            <w:tcW w:w="4320" w:type="dxa"/>
          </w:tcPr>
          <w:p w14:paraId="59450663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 xml:space="preserve">通过 </w:t>
            </w:r>
            <w:r>
              <w:rPr>
                <w:rFonts w:ascii="Consolas" w:hAnsi="Consolas" w:eastAsia="Consolas"/>
                <w:b w:val="0"/>
                <w:bCs w:val="0"/>
                <w:sz w:val="20"/>
              </w:rPr>
              <w:t>mongo-init.js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 xml:space="preserve"> 首次启动自动建 9 个集合，其中遥测、传感器、任务回执三类用时序集合 + TTL 7 天，避免明细表无限增长</w:t>
            </w:r>
          </w:p>
        </w:tc>
      </w:tr>
      <w:tr w14:paraId="24E42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4EB8D0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Kafka</w:t>
            </w:r>
          </w:p>
        </w:tc>
        <w:tc>
          <w:tcPr>
            <w:tcW w:w="4320" w:type="dxa"/>
          </w:tcPr>
          <w:p w14:paraId="56EB27B2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KRaft 模式（免 ZooKeeper）；7 个业务 topic；</w:t>
            </w:r>
            <w:r>
              <w:rPr>
                <w:rFonts w:ascii="Consolas" w:hAnsi="Consolas" w:eastAsia="Consolas"/>
                <w:b w:val="0"/>
                <w:bCs w:val="0"/>
                <w:sz w:val="20"/>
              </w:rPr>
              <w:t>KAFKA_NUM_PARTITIONS=3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 xml:space="preserve"> 作为新 topic 的默认分区数</w:t>
            </w:r>
          </w:p>
        </w:tc>
      </w:tr>
      <w:tr w14:paraId="242B1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02B2F3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Elasticsearch + Kibana</w:t>
            </w:r>
          </w:p>
        </w:tc>
        <w:tc>
          <w:tcPr>
            <w:tcW w:w="4320" w:type="dxa"/>
          </w:tcPr>
          <w:p w14:paraId="03C250DC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关闭 xpack 安全便于演示；限制 JVM 堆内存，因为单机 8 GB 环境下 ES 是最吃内存的容器</w:t>
            </w:r>
          </w:p>
        </w:tc>
      </w:tr>
      <w:tr w14:paraId="32413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53D998D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>Nginx</w:t>
            </w:r>
          </w:p>
        </w:tc>
        <w:tc>
          <w:tcPr>
            <w:tcW w:w="4320" w:type="dxa"/>
          </w:tcPr>
          <w:p w14:paraId="2CE0431E">
            <w:pPr>
              <w:spacing w:before="40" w:after="40" w:line="240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 xml:space="preserve">统一对外入口 80；静态资源 + </w:t>
            </w:r>
            <w:r>
              <w:rPr>
                <w:rFonts w:ascii="Consolas" w:hAnsi="Consolas" w:eastAsia="Consolas"/>
                <w:b w:val="0"/>
                <w:bCs w:val="0"/>
                <w:sz w:val="20"/>
              </w:rPr>
              <w:t>/api</w:t>
            </w:r>
            <w:r>
              <w:rPr>
                <w:rFonts w:ascii="Times New Roman" w:hAnsi="Times New Roman" w:eastAsia="宋体"/>
                <w:b w:val="0"/>
                <w:bCs w:val="0"/>
                <w:sz w:val="21"/>
              </w:rPr>
              <w:t xml:space="preserve"> 反向代理到后端 upstream</w:t>
            </w:r>
          </w:p>
        </w:tc>
      </w:tr>
    </w:tbl>
    <w:p w14:paraId="270E3110">
      <w:pPr>
        <w:rPr>
          <w:b w:val="0"/>
          <w:bCs w:val="0"/>
        </w:rPr>
      </w:pPr>
    </w:p>
    <w:p w14:paraId="67DFF9C6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配置调优——把消费并行度从 1 提到 3。这是运维侧最有价值的一次调优。项目最初所有业务 topic 的分区数都是 1，而 Kafka 的并行单位是分区：一个分区在同一时刻只能被消费组里的一个消费者消费。这意味着无论加多少个后端实例、把 </w:t>
      </w:r>
      <w:r>
        <w:rPr>
          <w:rFonts w:ascii="Consolas" w:hAnsi="Consolas" w:eastAsia="Consolas"/>
          <w:b w:val="0"/>
          <w:bCs w:val="0"/>
          <w:sz w:val="20"/>
        </w:rPr>
        <w:t>spring.kafka.listener.concurrency</w:t>
      </w:r>
      <w:r>
        <w:rPr>
          <w:rFonts w:ascii="Times New Roman" w:hAnsi="Times New Roman" w:eastAsia="宋体"/>
          <w:b w:val="0"/>
          <w:bCs w:val="0"/>
        </w:rPr>
        <w:t xml:space="preserve"> 调多大，单个 topic 的消费并行度都被物理锁死为 1。</w:t>
      </w:r>
    </w:p>
    <w:p w14:paraId="5420042B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不能简单加大分区数的原因是：Kafka 只保证分区内有序，而业务要求“同一台设备的消息按序处理”，所以必须让同一设备进同一分区——代码里用 </w:t>
      </w:r>
      <w:r>
        <w:rPr>
          <w:rFonts w:ascii="Consolas" w:hAnsi="Consolas" w:eastAsia="Consolas"/>
          <w:b w:val="0"/>
          <w:bCs w:val="0"/>
          <w:sz w:val="20"/>
        </w:rPr>
        <w:t>deviceNo</w:t>
      </w:r>
      <w:r>
        <w:rPr>
          <w:rFonts w:ascii="Times New Roman" w:hAnsi="Times New Roman" w:eastAsia="宋体"/>
          <w:b w:val="0"/>
          <w:bCs w:val="0"/>
        </w:rPr>
        <w:t xml:space="preserve"> 作为消息 key 正是为此。解法是按设备号哈希到 N 个分区，同设备仍然保序，同时把消费并发提到 N。由于代码里本来就是 </w:t>
      </w:r>
      <w:r>
        <w:rPr>
          <w:rFonts w:ascii="Consolas" w:hAnsi="Consolas" w:eastAsia="Consolas"/>
          <w:b w:val="0"/>
          <w:bCs w:val="0"/>
          <w:sz w:val="20"/>
        </w:rPr>
        <w:t>kafkaTemplate.send(topic, deviceNo, json)</w:t>
      </w:r>
      <w:r>
        <w:rPr>
          <w:rFonts w:ascii="Times New Roman" w:hAnsi="Times New Roman" w:eastAsia="宋体"/>
          <w:b w:val="0"/>
          <w:bCs w:val="0"/>
        </w:rPr>
        <w:t>，改动只需调整分区数与并发配置。我把 6 个上行 topic 的分区数从 1 提升到 3，并把并发同步设为 3——两者必须同时调整，只改其中一个收益接近零。</w:t>
      </w:r>
    </w:p>
    <w:p w14:paraId="574345C9">
      <w:pPr>
        <w:pStyle w:val="5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28"/>
        </w:rPr>
        <w:t>1.7 容量评估与性能测试</w:t>
      </w:r>
    </w:p>
    <w:p w14:paraId="1BB1F0E2">
      <w:pPr>
        <w:ind w:firstLine="480"/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我从中间件侧对系统做了容量评估，回答“这台单机 8 GB 的机器能扛多少台设备、瓶颈在哪一环”。</w:t>
      </w:r>
    </w:p>
    <w:p w14:paraId="3386895A">
      <w:pPr>
        <w:ind w:firstLine="480"/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结论一：头号瓶颈是 Kafka 的单分区设计，不是 CPU 也不是内存。 这是 1.6 节那次调优的由来。</w:t>
      </w:r>
    </w:p>
    <w:p w14:paraId="68325FAD">
      <w:pPr>
        <w:ind w:firstLine="480"/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结论二：最紧缺的资源是内存，瓶颈落点是 Elasticsearch。 8 GB 配额下 8 个容器空载已占约 5.7 GiB，其中 ES 占用率接近 99.6%、Kibana 90%。真正能用于扛负载的余量只有约 2.3 GiB。</w:t>
      </w:r>
    </w:p>
    <w:p w14:paraId="052C271C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结论三：用排除法定位瓶颈。 用 Kafka 自带的压测脚本在独立测试主题上测裸 Kafka 的天花板，得到单节点约 58 万条/秒写入、114 万条/秒读取（3 分区、300 字节消息）。而业务侧在 2000 台设备压测时 gps 生产速率是 833 条/秒——差三个数量级。这直接排除了“Kafka 太慢”这个嫌疑：观察到的消费停顿，责任必然在业务处理链（数据库写入、影像授权链路、JVM 停顿）而非消息中间件。</w:t>
      </w:r>
    </w:p>
    <w:p w14:paraId="079B7B8B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为了让压测可控，我把仿真端的设备数做成可配置项（6 ~ 500 台）、上报周期与日志开关也可调，并配了两个脚本：一个采集容器资源、一个实测消息速率与理论值对照。三条判读规则写进了手册：实测速率≈理论速率说明设备侧健康；实测低于理论且 LAG 上涨说明平台侧到顶；实测低于理论但 LAG 为 0 说明是设备侧本身到顶（生产者发不出去），需查仿真端 CPU 与日志开关。</w:t>
      </w:r>
    </w:p>
    <w:p w14:paraId="38371073">
      <w:pPr>
        <w:pStyle w:val="4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32"/>
        </w:rPr>
        <w:t>二、收获</w:t>
      </w:r>
    </w:p>
    <w:p w14:paraId="7F0E39A3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1. 架构的价值在“约束”，不在“图”。 分层、选型这些“画出来”的东西相对好做；真正难的是把依赖方向、契约边界、一致性边界想清楚。影像通道那次重构之所以有价值，不是因为它换了组件，而是因为它修掉了一个违反“跨系统只传标识、不传位置”原则的契约。这条原则此后成了我审设计时的第一把尺子。</w:t>
      </w:r>
    </w:p>
    <w:p w14:paraId="462F07E3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2. 排错的终点是改设计，不是加正则。 </w:t>
      </w:r>
      <w:r>
        <w:rPr>
          <w:rFonts w:ascii="Consolas" w:hAnsi="Consolas" w:eastAsia="Consolas"/>
          <w:b w:val="0"/>
          <w:bCs w:val="0"/>
          <w:sz w:val="20"/>
        </w:rPr>
        <w:t>/app/sim-files/D:\...</w:t>
      </w:r>
      <w:r>
        <w:rPr>
          <w:rFonts w:ascii="Times New Roman" w:hAnsi="Times New Roman" w:eastAsia="宋体"/>
          <w:b w:val="0"/>
          <w:bCs w:val="0"/>
        </w:rPr>
        <w:t xml:space="preserve"> 那个 bug 的两次解决——先打补丁、后改架构——是我整个项目里对比最鲜明的一次经历，也让我养成了一个习惯：当一个 bug 需要靠“特殊处理”才能绕开时，先怀疑设计本身。</w:t>
      </w:r>
    </w:p>
    <w:p w14:paraId="0B0FA980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3. 测出来 ≠ 测对了。 性能测试的读数口径错误教会我，对测量工具本身也要有怀疑精神——先搞清楚每个指标的定义与分母，再拿它下判断。基于错误读数做容量判断，比不做测试更危险。</w:t>
      </w:r>
    </w:p>
    <w:p w14:paraId="1D40F3F9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4. 文档要经得起“指到源码”。 我给架构图立的规矩是“每根线都要能在代码或配置里找到对应物”，这条规矩确实抓出了图与代码不一致的残留。把这条标准前置到画图时，比事后review更省力。</w:t>
      </w:r>
    </w:p>
    <w:p w14:paraId="28319162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5. 组件的“限制”比“功能”更值得记。 分区数只能增不能减、Nginx 启动时才解析 upstream、WebHDFS 的 307 是架构必然而非异常、HDFS 端口与 RPC 端口的分工——这些都是文档里不会加粗、但一旦踩中就卡住半天的东西。我最后把它们集中写进了排错清单与复现指南，这也是我认为对团队最有用的产出之一：把个人踩过的坑变成团队不再踩的坑。</w:t>
      </w:r>
    </w:p>
    <w:p w14:paraId="17739064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6. 运维视角让我理解了“架构的物理约束”。 同一个设计在单机容器里可行，不代表逻辑上成立——共享文件系统那条链路就是典型：它被 Docker 绑定挂载“制造”出来了，而不具备任何可移植性。</w:t>
      </w:r>
    </w:p>
    <w:p w14:paraId="413D1328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7. 两个角色让我看到了同一系统的两个面：设计时以为的“应该如此”，在部署时经常会被现实修正。 分区的顺序性约束、Nginx 启动时的名称解析、HDFS 的 307、Windows 与 Linux 的路径差异——这些都是必须真正把系统跑起来才会撞到的问题，而每一个撞到之后都要回到架构层面去判断：这是配置问题，还是设计问题？我对本项目的最大贡献，可能不是某一个组件的部署，而是在发现“正则打补丁”只是治标之后，推动了对影像文件通道的架构级重构，以及在架构图与代码不一致时把它们改回一致。这两件事的共同点，是都需要承认“之前那版做得不对”——我认为这是工程师最需要的一种习惯。</w:t>
      </w:r>
    </w:p>
    <w:p w14:paraId="4B32BE08">
      <w:pPr>
        <w:pStyle w:val="4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32"/>
        </w:rPr>
        <w:t>三、遇到的困难</w:t>
      </w:r>
    </w:p>
    <w:p w14:paraId="2615749D">
      <w:pPr>
        <w:pStyle w:val="5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困难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：把 WebHDFS 的 307 重定向误判为“异常响应”</w:t>
      </w:r>
    </w:p>
    <w:p w14:paraId="68CC27B1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现象：用 WebHDFS 写入文件时，第一步 </w:t>
      </w:r>
      <w:r>
        <w:rPr>
          <w:rFonts w:ascii="Consolas" w:hAnsi="Consolas" w:eastAsia="Consolas"/>
          <w:b w:val="0"/>
          <w:bCs w:val="0"/>
          <w:sz w:val="20"/>
        </w:rPr>
        <w:t>CREATE</w:t>
      </w:r>
      <w:r>
        <w:rPr>
          <w:rFonts w:ascii="Times New Roman" w:hAnsi="Times New Roman" w:eastAsia="宋体"/>
          <w:b w:val="0"/>
          <w:bCs w:val="0"/>
        </w:rPr>
        <w:t xml:space="preserve"> 返回 307 而不是 200，最初以为是失败。</w:t>
      </w:r>
    </w:p>
    <w:p w14:paraId="0B3BA5C4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排查：查阅 HDFS 文档后理解到，307 不是异常，而是 HDFS 架构的必然结果——NameNode 只负责元数据，数据必须由客户端直接写入 DataNode。NameNode 返回 307 加一个指向目标 DataNode 的 </w:t>
      </w:r>
      <w:r>
        <w:rPr>
          <w:rFonts w:ascii="Consolas" w:hAnsi="Consolas" w:eastAsia="Consolas"/>
          <w:b w:val="0"/>
          <w:bCs w:val="0"/>
          <w:sz w:val="20"/>
        </w:rPr>
        <w:t>Location</w:t>
      </w:r>
      <w:r>
        <w:rPr>
          <w:rFonts w:ascii="Times New Roman" w:hAnsi="Times New Roman" w:eastAsia="宋体"/>
          <w:b w:val="0"/>
          <w:bCs w:val="0"/>
        </w:rPr>
        <w:t xml:space="preserve"> 头，客户端需要自己跟随重定向。如果让 NameNode 转发数据，它会立刻成为整个集群的带宽瓶颈与单点。</w:t>
      </w:r>
    </w:p>
    <w:p w14:paraId="3340BE97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解决：代码里显式处理 307 —— Java 的 </w:t>
      </w:r>
      <w:r>
        <w:rPr>
          <w:rFonts w:ascii="Consolas" w:hAnsi="Consolas" w:eastAsia="Consolas"/>
          <w:b w:val="0"/>
          <w:bCs w:val="0"/>
          <w:sz w:val="20"/>
        </w:rPr>
        <w:t>HttpClient</w:t>
      </w:r>
      <w:r>
        <w:rPr>
          <w:rFonts w:ascii="Times New Roman" w:hAnsi="Times New Roman" w:eastAsia="宋体"/>
          <w:b w:val="0"/>
          <w:bCs w:val="0"/>
        </w:rPr>
        <w:t xml:space="preserve"> 默认 </w:t>
      </w:r>
      <w:r>
        <w:rPr>
          <w:rFonts w:ascii="Consolas" w:hAnsi="Consolas" w:eastAsia="Consolas"/>
          <w:b w:val="0"/>
          <w:bCs w:val="0"/>
          <w:sz w:val="20"/>
        </w:rPr>
        <w:t>followRedirects = NEVER</w:t>
      </w:r>
      <w:r>
        <w:rPr>
          <w:rFonts w:ascii="Times New Roman" w:hAnsi="Times New Roman" w:eastAsia="宋体"/>
          <w:b w:val="0"/>
          <w:bCs w:val="0"/>
        </w:rPr>
        <w:t xml:space="preserve">，必须手动取出 </w:t>
      </w:r>
      <w:r>
        <w:rPr>
          <w:rFonts w:ascii="Consolas" w:hAnsi="Consolas" w:eastAsia="Consolas"/>
          <w:b w:val="0"/>
          <w:bCs w:val="0"/>
          <w:sz w:val="20"/>
        </w:rPr>
        <w:t>Location</w:t>
      </w:r>
      <w:r>
        <w:rPr>
          <w:rFonts w:ascii="Times New Roman" w:hAnsi="Times New Roman" w:eastAsia="宋体"/>
          <w:b w:val="0"/>
          <w:bCs w:val="0"/>
        </w:rPr>
        <w:t xml:space="preserve"> 再发第二次 PUT。这段逻辑我在技术研究报告里专门用一节写了“为什么客户端必须直连 DataNode”，因为它把 HDFS 的主从架构、元数据与数据分离这两个核心设计一次性讲透了。</w:t>
      </w:r>
    </w:p>
    <w:p w14:paraId="2FC6A28F">
      <w:pPr>
        <w:pStyle w:val="5"/>
        <w:rPr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困难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：Nginx 启动即失败 `h</w:t>
      </w:r>
      <w:r>
        <w:rPr>
          <w:rFonts w:hint="eastAsia"/>
          <w:b w:val="0"/>
          <w:bCs w:val="0"/>
        </w:rPr>
        <w:t xml:space="preserve">ost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not found in upstream</w:t>
      </w:r>
      <w:r>
        <w:rPr>
          <w:rFonts w:ascii="Times New Roman" w:hAnsi="Times New Roman" w:eastAsia="黑体"/>
          <w:b w:val="0"/>
          <w:bCs w:val="0"/>
          <w:sz w:val="28"/>
        </w:rPr>
        <w:t>`</w:t>
      </w:r>
    </w:p>
    <w:p w14:paraId="5A1D17A9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现象：调整容器启动顺序后，Nginx 容器直接起不来，报 </w:t>
      </w:r>
      <w:r>
        <w:rPr>
          <w:rFonts w:ascii="Consolas" w:hAnsi="Consolas" w:eastAsia="Consolas"/>
          <w:b w:val="0"/>
          <w:bCs w:val="0"/>
          <w:sz w:val="20"/>
        </w:rPr>
        <w:t>nginx: [emerg] host not found in upstream "platform-service-1"</w:t>
      </w:r>
      <w:r>
        <w:rPr>
          <w:rFonts w:ascii="Times New Roman" w:hAnsi="Times New Roman" w:eastAsia="宋体"/>
          <w:b w:val="0"/>
          <w:bCs w:val="0"/>
        </w:rPr>
        <w:t>。</w:t>
      </w:r>
    </w:p>
    <w:p w14:paraId="0C8C3C02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原因：Nginx 在启动时解析 upstream 中的主机名，解析不到就拒绝启动。这是 Nginx 开源版的已知限制——它不支持运行时动态感知后端实例变化。</w:t>
      </w:r>
    </w:p>
    <w:p w14:paraId="65447446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解决：在 compose 中为 Nginx 显式声明 </w:t>
      </w:r>
      <w:r>
        <w:rPr>
          <w:rFonts w:ascii="Consolas" w:hAnsi="Consolas" w:eastAsia="Consolas"/>
          <w:b w:val="0"/>
          <w:bCs w:val="0"/>
          <w:sz w:val="20"/>
        </w:rPr>
        <w:t>depends_on</w:t>
      </w:r>
      <w:r>
        <w:rPr>
          <w:rFonts w:ascii="Times New Roman" w:hAnsi="Times New Roman" w:eastAsia="宋体"/>
          <w:b w:val="0"/>
          <w:bCs w:val="0"/>
        </w:rPr>
        <w:t xml:space="preserve"> 后端实例，确保后端容器先被创建（注意只需要名字能在 Docker DNS 里解析到即可，不要求已就绪）。我把这条限制连同报错原文写进了 compose 注释和排错清单，避免后续同学重踩。</w:t>
      </w:r>
    </w:p>
    <w:p w14:paraId="7F10FB16">
      <w:pPr>
        <w:pStyle w:val="5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困难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：性能测试读数是错的——把固定开销摊进了吞吐</w:t>
      </w:r>
    </w:p>
    <w:p w14:paraId="02ACE670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现象：同一个脚本、同一档分区配置，只把测试消息数从 20 万改成 200 万，消费吞吐从 5.8 万条/秒变成 44.6 万条/秒，差了 7.6 倍。</w:t>
      </w:r>
    </w:p>
    <w:p w14:paraId="667008EE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排查：查看 </w:t>
      </w:r>
      <w:r>
        <w:rPr>
          <w:rFonts w:ascii="Consolas" w:hAnsi="Consolas" w:eastAsia="Consolas"/>
          <w:b w:val="0"/>
          <w:bCs w:val="0"/>
          <w:sz w:val="20"/>
        </w:rPr>
        <w:t>kafka-consumer-perf-test.sh</w:t>
      </w:r>
      <w:r>
        <w:rPr>
          <w:rFonts w:ascii="Times New Roman" w:hAnsi="Times New Roman" w:eastAsia="宋体"/>
          <w:b w:val="0"/>
          <w:bCs w:val="0"/>
        </w:rPr>
        <w:t xml:space="preserve"> 的原始输出，发现关键在两列的区别——</w:t>
      </w:r>
    </w:p>
    <w:p w14:paraId="416CD528">
      <w:pPr>
        <w:shd w:val="clear" w:fill="F2F2F2"/>
        <w:spacing w:before="80" w:after="160"/>
        <w:ind w:left="360"/>
        <w:rPr>
          <w:b w:val="0"/>
          <w:bCs w:val="0"/>
        </w:rPr>
      </w:pPr>
      <w:r>
        <w:rPr>
          <w:rFonts w:ascii="Consolas" w:hAnsi="Consolas" w:eastAsia="Consolas"/>
          <w:b w:val="0"/>
          <w:bCs w:val="0"/>
          <w:sz w:val="18"/>
        </w:rPr>
        <w:t>rebalance.time.ms = 3241     ← 消费者入组 + 分区分配花了 3.241 秒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fetch.time.ms     = 175      ← 真正读数据只用了 175 毫秒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nMsg.sec          = 58548    （分母 = 整个窗口，含 rebalance）</w:t>
      </w:r>
      <w:r>
        <w:rPr>
          <w:b w:val="0"/>
          <w:bCs w:val="0"/>
        </w:rPr>
        <w:br w:type="textWrapping"/>
      </w:r>
      <w:r>
        <w:rPr>
          <w:rFonts w:ascii="Consolas" w:hAnsi="Consolas" w:eastAsia="Consolas"/>
          <w:b w:val="0"/>
          <w:bCs w:val="0"/>
          <w:sz w:val="18"/>
        </w:rPr>
        <w:t>fetch.nMsg.sec    = 1142857  （分母 = 纯读取时间）</w:t>
      </w:r>
    </w:p>
    <w:p w14:paraId="04A9BFD1">
      <w:pPr>
        <w:ind w:firstLine="480"/>
        <w:rPr>
          <w:b w:val="0"/>
          <w:bCs w:val="0"/>
        </w:rPr>
      </w:pPr>
      <w:r>
        <w:rPr>
          <w:rFonts w:ascii="Consolas" w:hAnsi="Consolas" w:eastAsia="Consolas"/>
          <w:b w:val="0"/>
          <w:bCs w:val="0"/>
          <w:sz w:val="20"/>
        </w:rPr>
        <w:t>nMsg.sec</w:t>
      </w:r>
      <w:r>
        <w:rPr>
          <w:rFonts w:ascii="Times New Roman" w:hAnsi="Times New Roman" w:eastAsia="宋体"/>
          <w:b w:val="0"/>
          <w:bCs w:val="0"/>
        </w:rPr>
        <w:t xml:space="preserve"> 的分母是整个窗口，其中包含与消息量无关的固定开销。消息越少，这段固定开销被摊得越薄的反而是读取时间，读数被压得越狠。20 万条时固定开销占了窗口的 94%。</w:t>
      </w:r>
    </w:p>
    <w:p w14:paraId="36E25C47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解决：把测量脚本改为取 </w:t>
      </w:r>
      <w:r>
        <w:rPr>
          <w:rFonts w:ascii="Consolas" w:hAnsi="Consolas" w:eastAsia="Consolas"/>
          <w:b w:val="0"/>
          <w:bCs w:val="0"/>
          <w:sz w:val="20"/>
        </w:rPr>
        <w:t>fetch.*</w:t>
      </w:r>
      <w:r>
        <w:rPr>
          <w:rFonts w:ascii="Times New Roman" w:hAnsi="Times New Roman" w:eastAsia="宋体"/>
          <w:b w:val="0"/>
          <w:bCs w:val="0"/>
        </w:rPr>
        <w:t xml:space="preserve"> 列，并增加“固定开销占比过半就打警告”的机制；同时在测试手册里补上操作纪律——测消费端时消息数不低于 300 万（按 114 万条/秒估算，固定开销才能摊到 10% 以下）。修正后同一档位测出的消费吞吐从 5.8 万条/秒变为 96 万条/秒。此前我们曾据这个脚本得出“分区数从 1 增到 6 对消费吞吐没有影响”的结论，而那个结论是错的——三档读数全都是同一个固定开销主导出来的假值。</w:t>
      </w:r>
    </w:p>
    <w:p w14:paraId="571160EB">
      <w:pPr>
        <w:pStyle w:val="5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困难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：单分区锁死消费并行度</w:t>
      </w:r>
    </w:p>
    <w:p w14:paraId="7ECB0A52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现象：加压后消费端出现停顿，但 LAG 又能回落，看不出到底到没到瓶颈。</w:t>
      </w:r>
    </w:p>
    <w:p w14:paraId="28E9BF62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排查过程：先怀疑业务代码写得慢，但看容器资源发现 CPU 和内存都没打满；转而怀疑 Kafka 本身，用裸 Kafka 压测排除了它（见 1.7 结论三）；最后回到分区配置，才意识到问题的性质——这不是配置疏忽，是架构约束：业务要求同设备有序 → 必须按 </w:t>
      </w:r>
      <w:r>
        <w:rPr>
          <w:rFonts w:ascii="Consolas" w:hAnsi="Consolas" w:eastAsia="Consolas"/>
          <w:b w:val="0"/>
          <w:bCs w:val="0"/>
          <w:sz w:val="20"/>
        </w:rPr>
        <w:t>deviceNo</w:t>
      </w:r>
      <w:r>
        <w:rPr>
          <w:rFonts w:ascii="Times New Roman" w:hAnsi="Times New Roman" w:eastAsia="宋体"/>
          <w:b w:val="0"/>
          <w:bCs w:val="0"/>
        </w:rPr>
        <w:t xml:space="preserve"> 分区 → 单分区时并行度只能是 1。</w:t>
      </w:r>
    </w:p>
    <w:p w14:paraId="04E70E8A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解决：分区数与消费并发同步从 1 提到 3（见 1.6）。这次排查让我学到：LAG 涨了又回落不等于健康，它只说明“当前还能追平”；而真正的上限往往不在你最先怀疑的那一层。</w:t>
      </w:r>
    </w:p>
    <w:p w14:paraId="75366AB7">
      <w:pPr>
        <w:pStyle w:val="4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32"/>
        </w:rPr>
        <w:t>四、不足</w:t>
      </w:r>
    </w:p>
    <w:p w14:paraId="5A798F55">
      <w:pPr>
        <w:pStyle w:val="19"/>
        <w:bidi w:val="0"/>
      </w:pPr>
      <w:r>
        <w:t>1. HDFS 存储层没有强制力。 未开启鉴权（dfs.permissions.enabled=false），目前的防线是应用层的“路径规范校验”，属于事后拒绝而非事前阻止。设备理论上仍可绕过平台直写文件。</w:t>
      </w:r>
    </w:p>
    <w:p w14:paraId="3FEFD467">
      <w:pPr>
        <w:pStyle w:val="19"/>
        <w:bidi w:val="0"/>
      </w:pPr>
      <w:r>
        <w:t>2. 影像文件通道没有独立的压测。 性能测试目前只覆盖消息通道。而在 2000 台设备规模下，影像产生速率约 183 文件/秒，每张要经过一次授权请求 + 三次 WebHDFS HTTP，这条链路很可能先于 Kafka 成为瓶颈——但我们没有数据。</w:t>
      </w:r>
    </w:p>
    <w:p w14:paraId="3DEAF063">
      <w:pPr>
        <w:pStyle w:val="19"/>
        <w:bidi w:val="0"/>
      </w:pPr>
      <w:r>
        <w:t>3. 仿真端占位图片没有清理机制。 generatePlaceholderFile 只写不删，实测容器可写层已累积到约 32 MB 并在持续增长。既然本地文件只是上传前的中转，就不该留存。</w:t>
      </w:r>
    </w:p>
    <w:p w14:paraId="388A36F0">
      <w:pPr>
        <w:pStyle w:val="19"/>
        <w:bidi w:val="0"/>
      </w:pPr>
      <w:r>
        <w:t>4. Kibana 仪表盘未配置。 容器已就绪但没有建索引模式与图表，运维视图这块是演示上的短板。</w:t>
      </w:r>
    </w:p>
    <w:p w14:paraId="1423A0D0">
      <w:pPr>
        <w:pStyle w:val="19"/>
        <w:bidi w:val="0"/>
      </w:pPr>
      <w:r>
        <w:t>5. 负载均衡“已配未演示”。 Nginx upstream 配好了，但演示时通常只起一个后端实例，轮询效果没真正展示出来。</w:t>
      </w:r>
    </w:p>
    <w:p w14:paraId="6100C2C4">
      <w:pPr>
        <w:pStyle w:val="19"/>
        <w:bidi w:val="0"/>
      </w:pPr>
      <w:r>
        <w:t>6. 架构文档与代码的一致性靠人工维护。 影像通道重构后，图与代码不一致的残留是靠人回头检查才发现的，没有任何自动校验手段。</w:t>
      </w:r>
    </w:p>
    <w:p w14:paraId="3B7B8980">
      <w:pPr>
        <w:pStyle w:val="19"/>
        <w:bidi w:val="0"/>
      </w:pPr>
      <w:r>
        <w:t>7. 我的知识面集中在“部署与集成”，对组件内部实现的理解仍然偏浅。 例如 Elasticsearch 的聚合查询、MongoDB 时序集合的底层存储，我能用、能配，但被追问内部机制时把握不足。</w:t>
      </w:r>
    </w:p>
    <w:p w14:paraId="36B03C9C">
      <w:pPr>
        <w:pStyle w:val="4"/>
        <w:rPr>
          <w:b w:val="0"/>
          <w:bCs w:val="0"/>
        </w:rPr>
      </w:pPr>
      <w:r>
        <w:rPr>
          <w:rFonts w:ascii="Times New Roman" w:hAnsi="Times New Roman" w:eastAsia="黑体"/>
          <w:b w:val="0"/>
          <w:bCs w:val="0"/>
          <w:sz w:val="32"/>
        </w:rPr>
        <w:t>五、改进方向</w:t>
      </w:r>
    </w:p>
    <w:p w14:paraId="2520E5F7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按“影响 × 可行性”排序：</w:t>
      </w:r>
    </w:p>
    <w:p w14:paraId="4D61931A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1. 补齐影像文件通道的压测（优先级最高）。 这是当前最大的数据空白，而且它很可能才是真实瓶颈。做法：在仿真端加压的同时，用容器资源采集脚本监控 HDFS DataNode 与业务服务的线程/网络；分离测量“授权请求”与“WebHDFS 三步写”各自的耗时；据此判断瓶颈落在 Nginx、业务服务的 HTTP 线程池还是单 DataNode。对应不足 2。</w:t>
      </w:r>
    </w:p>
    <w:p w14:paraId="42AFFBFF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2. 把存储鉴权从“事后拒绝”前移为“事前授权”。 做法：把现在的 </w:t>
      </w:r>
      <w:r>
        <w:rPr>
          <w:rFonts w:ascii="Consolas" w:hAnsi="Consolas" w:eastAsia="Consolas"/>
          <w:b w:val="0"/>
          <w:bCs w:val="0"/>
          <w:sz w:val="20"/>
        </w:rPr>
        <w:t>storageRef</w:t>
      </w:r>
      <w:r>
        <w:rPr>
          <w:rFonts w:ascii="Times New Roman" w:hAnsi="Times New Roman" w:eastAsia="宋体"/>
          <w:b w:val="0"/>
          <w:bCs w:val="0"/>
        </w:rPr>
        <w:t xml:space="preserve"> 纯路径签发升级为带签名与时效的上传凭证（预签名 URL 思路）——平台签发时附带过期时间与范围限制，存储入口校验凭证。当前方案已为此预留了接口形态，平台侧代码改动可控。对应不足 1。</w:t>
      </w:r>
    </w:p>
    <w:p w14:paraId="1CCED32A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3. 占位图“中转即删”。 做法：在 </w:t>
      </w:r>
      <w:r>
        <w:rPr>
          <w:rFonts w:ascii="Consolas" w:hAnsi="Consolas" w:eastAsia="Consolas"/>
          <w:b w:val="0"/>
          <w:bCs w:val="0"/>
          <w:sz w:val="20"/>
        </w:rPr>
        <w:t>StorageClient.upload()</w:t>
      </w:r>
      <w:r>
        <w:rPr>
          <w:rFonts w:ascii="Times New Roman" w:hAnsi="Times New Roman" w:eastAsia="宋体"/>
          <w:b w:val="0"/>
          <w:bCs w:val="0"/>
        </w:rPr>
        <w:t xml:space="preserve"> 成功返回后删除本地文件。改动量小（几行），但能同时止住容器可写层的无限增长。对应不足 3。</w:t>
      </w:r>
    </w:p>
    <w:p w14:paraId="1E10E349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4. 把关键结论固化为可断言的检查。 做法：为“分区数是否为 3”“并发是否为 3”“307 处理是否存在”这类曾经出错的地方写一组轻量校验脚本，纳入交付前检查清单，而不是靠人记得。对应不足 6。</w:t>
      </w:r>
    </w:p>
    <w:p w14:paraId="26546032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5. 补齐演示层面的短板。 Kibana 建索引模式与两三个图表（约 5 分钟配置）、演示时起第二个后端实例展示 Nginx 轮询。这两项工作量低、演示收益直接。对应不足 4、5。</w:t>
      </w:r>
    </w:p>
    <w:p w14:paraId="537C90D9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6. 把消费端指标口径写进手册与脚本的默认行为。 做法：已在测量脚本中改为取 </w:t>
      </w:r>
      <w:r>
        <w:rPr>
          <w:rFonts w:ascii="Consolas" w:hAnsi="Consolas" w:eastAsia="Consolas"/>
          <w:b w:val="0"/>
          <w:bCs w:val="0"/>
          <w:sz w:val="20"/>
        </w:rPr>
        <w:t>fetch.*</w:t>
      </w:r>
      <w:r>
        <w:rPr>
          <w:rFonts w:ascii="Times New Roman" w:hAnsi="Times New Roman" w:eastAsia="宋体"/>
          <w:b w:val="0"/>
          <w:bCs w:val="0"/>
        </w:rPr>
        <w:t xml:space="preserve"> 列并加开销警告，下一步是把这条口径同步到测试手册的全部示例与报告表格模板中，避免其他人照旧文档再踩一次。对应困难四。</w:t>
      </w:r>
    </w:p>
    <w:p w14:paraId="25FC839E">
      <w:pPr>
        <w:ind w:firstLine="480"/>
        <w:rPr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7. 有意识地向“组件内部”深入。 做法：把项目中用到的查询与配置逐条对照官方原理（如 ES 的 terms/date_histogram 聚合执行过程、MongoDB 时序集合的桶化存储），从“会配”推进到“讲得清为什么”。对应不足 7。</w:t>
      </w:r>
    </w:p>
    <w:p w14:paraId="75671707">
      <w:pPr>
        <w:rPr>
          <w:b w:val="0"/>
          <w:bCs w:val="0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0864EF"/>
    <w:rsid w:val="5C01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815</Words>
  <Characters>885</Characters>
  <Lines>0</Lines>
  <Paragraphs>0</Paragraphs>
  <TotalTime>14</TotalTime>
  <ScaleCrop>false</ScaleCrop>
  <LinksUpToDate>false</LinksUpToDate>
  <CharactersWithSpaces>916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慕</cp:lastModifiedBy>
  <dcterms:modified xsi:type="dcterms:W3CDTF">2026-09-24T02:03:48Z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eyJoZGlkIjoiMzk5MTdlMzY4YjQzMjM3ZTVmZTJkN2M0MzI4MjIzODAiLCJ1c2VySWQiOiI3OTM1NTQzMzQifQ==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523562640FE5428EA1A3DE7A3318C937_12</vt:lpwstr>
  </property>
</Properties>
</file>