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1B18B" w14:textId="77FBB0E5" w:rsidR="00065963" w:rsidRDefault="00213BBB" w:rsidP="00213BBB">
      <w:pPr>
        <w:pStyle w:val="berschrift1"/>
      </w:pPr>
      <w:r>
        <w:t>More charts</w:t>
      </w:r>
    </w:p>
    <w:p w14:paraId="5586A0F5" w14:textId="28D9B32B" w:rsidR="00213BBB" w:rsidRDefault="00213BBB" w:rsidP="00213BBB">
      <w:pPr>
        <w:pStyle w:val="berschrift3"/>
      </w:pPr>
      <w:r>
        <w:t>Radar</w:t>
      </w:r>
    </w:p>
    <w:p w14:paraId="23FEB115" w14:textId="24AEAB7C" w:rsidR="00213BBB" w:rsidRDefault="00213BBB" w:rsidP="00213BBB">
      <w:r>
        <w:rPr>
          <w:noProof/>
        </w:rPr>
        <w:drawing>
          <wp:inline distT="0" distB="0" distL="0" distR="0" wp14:anchorId="5BF56739" wp14:editId="19943F7E">
            <wp:extent cx="5486400" cy="3200400"/>
            <wp:effectExtent l="0" t="0" r="0" b="0"/>
            <wp:docPr id="1582403022" name="Diagramm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327E53EB" w14:textId="33662913" w:rsidR="00213BBB" w:rsidRDefault="00213BBB" w:rsidP="00213BBB">
      <w:pPr>
        <w:pStyle w:val="berschrift3"/>
      </w:pPr>
      <w:r>
        <w:t>Surface</w:t>
      </w:r>
    </w:p>
    <w:p w14:paraId="2350FF5C" w14:textId="2E3EDC1E" w:rsidR="00213BBB" w:rsidRDefault="00213BBB" w:rsidP="00213BBB">
      <w:r>
        <w:rPr>
          <w:noProof/>
        </w:rPr>
        <w:drawing>
          <wp:inline distT="0" distB="0" distL="0" distR="0" wp14:anchorId="3C8F45F0" wp14:editId="4E20EDE7">
            <wp:extent cx="5486400" cy="3200400"/>
            <wp:effectExtent l="0" t="0" r="0" b="0"/>
            <wp:docPr id="102204094" name="Diagramm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0127512E" w14:textId="5C61F2AE" w:rsidR="00213BBB" w:rsidRDefault="00213BBB" w:rsidP="00213BBB">
      <w:pPr>
        <w:pStyle w:val="berschrift3"/>
      </w:pPr>
      <w:r>
        <w:t>Stock</w:t>
      </w:r>
    </w:p>
    <w:p w14:paraId="257EF009" w14:textId="3D565804" w:rsidR="00213BBB" w:rsidRPr="00213BBB" w:rsidRDefault="00213BBB" w:rsidP="00213BBB">
      <w:r>
        <w:rPr>
          <w:noProof/>
        </w:rPr>
        <w:drawing>
          <wp:inline distT="0" distB="0" distL="0" distR="0" wp14:anchorId="347B6393" wp14:editId="0D712CAB">
            <wp:extent cx="5486400" cy="3200400"/>
            <wp:effectExtent l="0" t="0" r="0" b="0"/>
            <wp:docPr id="321721706" name="Diagramm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213BBB" w:rsidRPr="00213BB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BBB"/>
    <w:rsid w:val="00065963"/>
    <w:rsid w:val="00213BBB"/>
    <w:rsid w:val="00545225"/>
    <w:rsid w:val="00AE0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BF6CD"/>
  <w15:chartTrackingRefBased/>
  <w15:docId w15:val="{031A3AB1-E11F-4A34-9328-97DE986DB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13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13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13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13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13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13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13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13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13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13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13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13B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13BB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13BB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13BB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13BB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13BB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13BB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13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13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13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13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13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13BB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13BB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13BB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13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13BB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13B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/>
      <c:radarChart>
        <c:radarStyle val="marker"/>
        <c:varyColors val="0"/>
        <c:ser>
          <c:idx val="0"/>
          <c:order val="0"/>
          <c:tx>
            <c:strRef>
              <c:f>Tabelle1!$B$1</c:f>
              <c:strCache>
                <c:ptCount val="1"/>
                <c:pt idx="0">
                  <c:v>Datenreihe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Tabelle1!$A$2:$A$6</c:f>
              <c:numCache>
                <c:formatCode>m/d/yyyy</c:formatCode>
                <c:ptCount val="5"/>
                <c:pt idx="0">
                  <c:v>37377</c:v>
                </c:pt>
                <c:pt idx="1">
                  <c:v>37408</c:v>
                </c:pt>
                <c:pt idx="2">
                  <c:v>37438</c:v>
                </c:pt>
                <c:pt idx="3">
                  <c:v>37469</c:v>
                </c:pt>
                <c:pt idx="4">
                  <c:v>37500</c:v>
                </c:pt>
              </c:numCache>
            </c:numRef>
          </c:cat>
          <c:val>
            <c:numRef>
              <c:f>Tabelle1!$B$2:$B$6</c:f>
              <c:numCache>
                <c:formatCode>General</c:formatCode>
                <c:ptCount val="5"/>
                <c:pt idx="0">
                  <c:v>32</c:v>
                </c:pt>
                <c:pt idx="1">
                  <c:v>32</c:v>
                </c:pt>
                <c:pt idx="2">
                  <c:v>28</c:v>
                </c:pt>
                <c:pt idx="3">
                  <c:v>12</c:v>
                </c:pt>
                <c:pt idx="4">
                  <c:v>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8C1-4D0E-B286-FEA98012705C}"/>
            </c:ext>
          </c:extLst>
        </c:ser>
        <c:ser>
          <c:idx val="1"/>
          <c:order val="1"/>
          <c:tx>
            <c:strRef>
              <c:f>Tabelle1!$C$1</c:f>
              <c:strCache>
                <c:ptCount val="1"/>
                <c:pt idx="0">
                  <c:v>Datenreihe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Tabelle1!$A$2:$A$6</c:f>
              <c:numCache>
                <c:formatCode>m/d/yyyy</c:formatCode>
                <c:ptCount val="5"/>
                <c:pt idx="0">
                  <c:v>37377</c:v>
                </c:pt>
                <c:pt idx="1">
                  <c:v>37408</c:v>
                </c:pt>
                <c:pt idx="2">
                  <c:v>37438</c:v>
                </c:pt>
                <c:pt idx="3">
                  <c:v>37469</c:v>
                </c:pt>
                <c:pt idx="4">
                  <c:v>37500</c:v>
                </c:pt>
              </c:numCache>
            </c:numRef>
          </c:cat>
          <c:val>
            <c:numRef>
              <c:f>Tabelle1!$C$2:$C$6</c:f>
              <c:numCache>
                <c:formatCode>General</c:formatCode>
                <c:ptCount val="5"/>
                <c:pt idx="0">
                  <c:v>12</c:v>
                </c:pt>
                <c:pt idx="1">
                  <c:v>12</c:v>
                </c:pt>
                <c:pt idx="2">
                  <c:v>12</c:v>
                </c:pt>
                <c:pt idx="3">
                  <c:v>21</c:v>
                </c:pt>
                <c:pt idx="4">
                  <c:v>28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8C1-4D0E-B286-FEA98012705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1805647"/>
        <c:axId val="2091092751"/>
      </c:radarChart>
      <c:catAx>
        <c:axId val="181805647"/>
        <c:scaling>
          <c:orientation val="minMax"/>
        </c:scaling>
        <c:delete val="0"/>
        <c:axPos val="b"/>
        <c:numFmt formatCode="m/d/yyyy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2091092751"/>
        <c:crosses val="autoZero"/>
        <c:auto val="1"/>
        <c:lblAlgn val="ctr"/>
        <c:lblOffset val="100"/>
        <c:noMultiLvlLbl val="0"/>
      </c:catAx>
      <c:valAx>
        <c:axId val="20910927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8180564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view3D>
      <c:rotX val="15"/>
      <c:rotY val="2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surface3DChart>
        <c:wireframe val="0"/>
        <c:ser>
          <c:idx val="0"/>
          <c:order val="0"/>
          <c:tx>
            <c:strRef>
              <c:f>Tabelle1!$B$1</c:f>
              <c:strCache>
                <c:ptCount val="1"/>
                <c:pt idx="0">
                  <c:v>Datenreihe 1</c:v>
                </c:pt>
              </c:strCache>
            </c:strRef>
          </c:tx>
          <c:spPr>
            <a:solidFill>
              <a:schemeClr val="accent1"/>
            </a:solidFill>
            <a:ln/>
            <a:effectLst/>
            <a:sp3d/>
          </c:spPr>
          <c:cat>
            <c:strRef>
              <c:f>Tabelle1!$A$2:$A$5</c:f>
              <c:strCache>
                <c:ptCount val="4"/>
                <c:pt idx="0">
                  <c:v>Kategorie 1</c:v>
                </c:pt>
                <c:pt idx="1">
                  <c:v>Kategorie 2</c:v>
                </c:pt>
                <c:pt idx="2">
                  <c:v>Kategorie 3</c:v>
                </c:pt>
                <c:pt idx="3">
                  <c:v>Kategorie 4</c:v>
                </c:pt>
              </c:strCache>
            </c:strRef>
          </c:cat>
          <c:val>
            <c:numRef>
              <c:f>Tabelle1!$B$2:$B$5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CFE-4B49-AEE6-1D6D80B2C124}"/>
            </c:ext>
          </c:extLst>
        </c:ser>
        <c:ser>
          <c:idx val="1"/>
          <c:order val="1"/>
          <c:tx>
            <c:strRef>
              <c:f>Tabelle1!$C$1</c:f>
              <c:strCache>
                <c:ptCount val="1"/>
                <c:pt idx="0">
                  <c:v>Datenreihe 2</c:v>
                </c:pt>
              </c:strCache>
            </c:strRef>
          </c:tx>
          <c:spPr>
            <a:solidFill>
              <a:schemeClr val="accent2"/>
            </a:solidFill>
            <a:ln/>
            <a:effectLst/>
            <a:sp3d/>
          </c:spPr>
          <c:cat>
            <c:strRef>
              <c:f>Tabelle1!$A$2:$A$5</c:f>
              <c:strCache>
                <c:ptCount val="4"/>
                <c:pt idx="0">
                  <c:v>Kategorie 1</c:v>
                </c:pt>
                <c:pt idx="1">
                  <c:v>Kategorie 2</c:v>
                </c:pt>
                <c:pt idx="2">
                  <c:v>Kategorie 3</c:v>
                </c:pt>
                <c:pt idx="3">
                  <c:v>Kategorie 4</c:v>
                </c:pt>
              </c:strCache>
            </c:strRef>
          </c:cat>
          <c:val>
            <c:numRef>
              <c:f>Tabelle1!$C$2:$C$5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CFE-4B49-AEE6-1D6D80B2C124}"/>
            </c:ext>
          </c:extLst>
        </c:ser>
        <c:ser>
          <c:idx val="2"/>
          <c:order val="2"/>
          <c:tx>
            <c:strRef>
              <c:f>Tabelle1!$D$1</c:f>
              <c:strCache>
                <c:ptCount val="1"/>
                <c:pt idx="0">
                  <c:v>Datenreihe 3</c:v>
                </c:pt>
              </c:strCache>
            </c:strRef>
          </c:tx>
          <c:spPr>
            <a:solidFill>
              <a:schemeClr val="accent3"/>
            </a:solidFill>
            <a:ln/>
            <a:effectLst/>
            <a:sp3d/>
          </c:spPr>
          <c:cat>
            <c:strRef>
              <c:f>Tabelle1!$A$2:$A$5</c:f>
              <c:strCache>
                <c:ptCount val="4"/>
                <c:pt idx="0">
                  <c:v>Kategorie 1</c:v>
                </c:pt>
                <c:pt idx="1">
                  <c:v>Kategorie 2</c:v>
                </c:pt>
                <c:pt idx="2">
                  <c:v>Kategorie 3</c:v>
                </c:pt>
                <c:pt idx="3">
                  <c:v>Kategorie 4</c:v>
                </c:pt>
              </c:strCache>
            </c:strRef>
          </c:cat>
          <c:val>
            <c:numRef>
              <c:f>Tabelle1!$D$2:$D$5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ACFE-4B49-AEE6-1D6D80B2C124}"/>
            </c:ext>
          </c:extLst>
        </c:ser>
        <c:bandFmts>
          <c:bandFmt>
            <c:idx val="0"/>
            <c:spPr>
              <a:solidFill>
                <a:schemeClr val="accent1"/>
              </a:solidFill>
              <a:ln/>
              <a:effectLst/>
              <a:sp3d/>
            </c:spPr>
          </c:bandFmt>
          <c:bandFmt>
            <c:idx val="1"/>
            <c:spPr>
              <a:solidFill>
                <a:schemeClr val="accent2"/>
              </a:solidFill>
              <a:ln/>
              <a:effectLst/>
              <a:sp3d/>
            </c:spPr>
          </c:bandFmt>
          <c:bandFmt>
            <c:idx val="2"/>
            <c:spPr>
              <a:solidFill>
                <a:schemeClr val="accent3"/>
              </a:solidFill>
              <a:ln/>
              <a:effectLst/>
              <a:sp3d/>
            </c:spPr>
          </c:bandFmt>
          <c:bandFmt>
            <c:idx val="3"/>
            <c:spPr>
              <a:solidFill>
                <a:schemeClr val="accent4"/>
              </a:solidFill>
              <a:ln/>
              <a:effectLst/>
              <a:sp3d/>
            </c:spPr>
          </c:bandFmt>
          <c:bandFmt>
            <c:idx val="4"/>
            <c:spPr>
              <a:solidFill>
                <a:schemeClr val="accent5"/>
              </a:solidFill>
              <a:ln/>
              <a:effectLst/>
              <a:sp3d/>
            </c:spPr>
          </c:bandFmt>
          <c:bandFmt>
            <c:idx val="5"/>
            <c:spPr>
              <a:solidFill>
                <a:schemeClr val="accent6"/>
              </a:solidFill>
              <a:ln/>
              <a:effectLst/>
              <a:sp3d/>
            </c:spPr>
          </c:bandFmt>
          <c:bandFmt>
            <c:idx val="6"/>
            <c:spPr>
              <a:solidFill>
                <a:schemeClr val="accent1">
                  <a:lumMod val="60000"/>
                </a:schemeClr>
              </a:solidFill>
              <a:ln/>
              <a:effectLst/>
              <a:sp3d/>
            </c:spPr>
          </c:bandFmt>
          <c:bandFmt>
            <c:idx val="7"/>
            <c:spPr>
              <a:solidFill>
                <a:schemeClr val="accent2">
                  <a:lumMod val="60000"/>
                </a:schemeClr>
              </a:solidFill>
              <a:ln/>
              <a:effectLst/>
              <a:sp3d/>
            </c:spPr>
          </c:bandFmt>
          <c:bandFmt>
            <c:idx val="8"/>
            <c:spPr>
              <a:solidFill>
                <a:schemeClr val="accent3">
                  <a:lumMod val="60000"/>
                </a:schemeClr>
              </a:solidFill>
              <a:ln/>
              <a:effectLst/>
              <a:sp3d/>
            </c:spPr>
          </c:bandFmt>
          <c:bandFmt>
            <c:idx val="9"/>
            <c:spPr>
              <a:solidFill>
                <a:schemeClr val="accent4">
                  <a:lumMod val="60000"/>
                </a:schemeClr>
              </a:solidFill>
              <a:ln/>
              <a:effectLst/>
              <a:sp3d/>
            </c:spPr>
          </c:bandFmt>
          <c:bandFmt>
            <c:idx val="10"/>
            <c:spPr>
              <a:solidFill>
                <a:schemeClr val="accent5">
                  <a:lumMod val="60000"/>
                </a:schemeClr>
              </a:solidFill>
              <a:ln/>
              <a:effectLst/>
              <a:sp3d/>
            </c:spPr>
          </c:bandFmt>
          <c:bandFmt>
            <c:idx val="11"/>
            <c:spPr>
              <a:solidFill>
                <a:schemeClr val="accent6">
                  <a:lumMod val="60000"/>
                </a:schemeClr>
              </a:solidFill>
              <a:ln/>
              <a:effectLst/>
              <a:sp3d/>
            </c:spPr>
          </c:bandFmt>
          <c:bandFmt>
            <c:idx val="12"/>
            <c:spPr>
              <a:solidFill>
                <a:schemeClr val="accent1">
                  <a:lumMod val="80000"/>
                  <a:lumOff val="20000"/>
                </a:schemeClr>
              </a:solidFill>
              <a:ln/>
              <a:effectLst/>
              <a:sp3d/>
            </c:spPr>
          </c:bandFmt>
          <c:bandFmt>
            <c:idx val="13"/>
            <c:spPr>
              <a:solidFill>
                <a:schemeClr val="accent2">
                  <a:lumMod val="80000"/>
                  <a:lumOff val="20000"/>
                </a:schemeClr>
              </a:solidFill>
              <a:ln/>
              <a:effectLst/>
              <a:sp3d/>
            </c:spPr>
          </c:bandFmt>
          <c:bandFmt>
            <c:idx val="14"/>
            <c:spPr>
              <a:solidFill>
                <a:schemeClr val="accent3">
                  <a:lumMod val="80000"/>
                  <a:lumOff val="20000"/>
                </a:schemeClr>
              </a:solidFill>
              <a:ln/>
              <a:effectLst/>
              <a:sp3d/>
            </c:spPr>
          </c:bandFmt>
        </c:bandFmts>
        <c:axId val="181780591"/>
        <c:axId val="1929076943"/>
        <c:axId val="2107580527"/>
      </c:surface3DChart>
      <c:catAx>
        <c:axId val="181780591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929076943"/>
        <c:crosses val="autoZero"/>
        <c:auto val="1"/>
        <c:lblAlgn val="ctr"/>
        <c:lblOffset val="100"/>
        <c:noMultiLvlLbl val="0"/>
      </c:catAx>
      <c:valAx>
        <c:axId val="19290769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81780591"/>
        <c:crosses val="autoZero"/>
        <c:crossBetween val="midCat"/>
      </c:valAx>
      <c:serAx>
        <c:axId val="2107580527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929076943"/>
        <c:crosses val="autoZero"/>
      </c:ser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rtl="0"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/>
      <c:stockChart>
        <c:ser>
          <c:idx val="0"/>
          <c:order val="0"/>
          <c:tx>
            <c:strRef>
              <c:f>Tabelle1!$B$1</c:f>
              <c:strCache>
                <c:ptCount val="1"/>
                <c:pt idx="0">
                  <c:v>Hoch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none"/>
          </c:marker>
          <c:cat>
            <c:numRef>
              <c:f>Tabelle1!$A$2:$A$6</c:f>
              <c:numCache>
                <c:formatCode>m/d/yyyy</c:formatCode>
                <c:ptCount val="5"/>
                <c:pt idx="0">
                  <c:v>37377</c:v>
                </c:pt>
                <c:pt idx="1">
                  <c:v>37408</c:v>
                </c:pt>
                <c:pt idx="2">
                  <c:v>37438</c:v>
                </c:pt>
                <c:pt idx="3">
                  <c:v>37469</c:v>
                </c:pt>
                <c:pt idx="4">
                  <c:v>37500</c:v>
                </c:pt>
              </c:numCache>
            </c:numRef>
          </c:cat>
          <c:val>
            <c:numRef>
              <c:f>Tabelle1!$B$2:$B$6</c:f>
              <c:numCache>
                <c:formatCode>General</c:formatCode>
                <c:ptCount val="5"/>
                <c:pt idx="0">
                  <c:v>55</c:v>
                </c:pt>
                <c:pt idx="1">
                  <c:v>57</c:v>
                </c:pt>
                <c:pt idx="2">
                  <c:v>57</c:v>
                </c:pt>
                <c:pt idx="3">
                  <c:v>58</c:v>
                </c:pt>
                <c:pt idx="4">
                  <c:v>58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6E6-41DF-A324-665415A1FFD3}"/>
            </c:ext>
          </c:extLst>
        </c:ser>
        <c:ser>
          <c:idx val="1"/>
          <c:order val="1"/>
          <c:tx>
            <c:strRef>
              <c:f>Tabelle1!$C$1</c:f>
              <c:strCache>
                <c:ptCount val="1"/>
                <c:pt idx="0">
                  <c:v>Niedrig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none"/>
          </c:marker>
          <c:cat>
            <c:numRef>
              <c:f>Tabelle1!$A$2:$A$6</c:f>
              <c:numCache>
                <c:formatCode>m/d/yyyy</c:formatCode>
                <c:ptCount val="5"/>
                <c:pt idx="0">
                  <c:v>37377</c:v>
                </c:pt>
                <c:pt idx="1">
                  <c:v>37408</c:v>
                </c:pt>
                <c:pt idx="2">
                  <c:v>37438</c:v>
                </c:pt>
                <c:pt idx="3">
                  <c:v>37469</c:v>
                </c:pt>
                <c:pt idx="4">
                  <c:v>37500</c:v>
                </c:pt>
              </c:numCache>
            </c:numRef>
          </c:cat>
          <c:val>
            <c:numRef>
              <c:f>Tabelle1!$C$2:$C$6</c:f>
              <c:numCache>
                <c:formatCode>General</c:formatCode>
                <c:ptCount val="5"/>
                <c:pt idx="0">
                  <c:v>11</c:v>
                </c:pt>
                <c:pt idx="1">
                  <c:v>12</c:v>
                </c:pt>
                <c:pt idx="2">
                  <c:v>13</c:v>
                </c:pt>
                <c:pt idx="3">
                  <c:v>11</c:v>
                </c:pt>
                <c:pt idx="4">
                  <c:v>35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6E6-41DF-A324-665415A1FFD3}"/>
            </c:ext>
          </c:extLst>
        </c:ser>
        <c:ser>
          <c:idx val="2"/>
          <c:order val="2"/>
          <c:tx>
            <c:strRef>
              <c:f>Tabelle1!$D$1</c:f>
              <c:strCache>
                <c:ptCount val="1"/>
                <c:pt idx="0">
                  <c:v>Schließen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dot"/>
            <c:size val="3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Tabelle1!$A$2:$A$6</c:f>
              <c:numCache>
                <c:formatCode>m/d/yyyy</c:formatCode>
                <c:ptCount val="5"/>
                <c:pt idx="0">
                  <c:v>37377</c:v>
                </c:pt>
                <c:pt idx="1">
                  <c:v>37408</c:v>
                </c:pt>
                <c:pt idx="2">
                  <c:v>37438</c:v>
                </c:pt>
                <c:pt idx="3">
                  <c:v>37469</c:v>
                </c:pt>
                <c:pt idx="4">
                  <c:v>37500</c:v>
                </c:pt>
              </c:numCache>
            </c:numRef>
          </c:cat>
          <c:val>
            <c:numRef>
              <c:f>Tabelle1!$D$2:$D$6</c:f>
              <c:numCache>
                <c:formatCode>General</c:formatCode>
                <c:ptCount val="5"/>
                <c:pt idx="0">
                  <c:v>32</c:v>
                </c:pt>
                <c:pt idx="1">
                  <c:v>35</c:v>
                </c:pt>
                <c:pt idx="2">
                  <c:v>34</c:v>
                </c:pt>
                <c:pt idx="3">
                  <c:v>35</c:v>
                </c:pt>
                <c:pt idx="4">
                  <c:v>43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26E6-41DF-A324-665415A1FFD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hiLowLines>
          <c:spPr>
            <a:ln w="9525" cap="flat" cmpd="sng" algn="ctr">
              <a:solidFill>
                <a:schemeClr val="tx1">
                  <a:lumMod val="75000"/>
                  <a:lumOff val="25000"/>
                </a:schemeClr>
              </a:solidFill>
              <a:round/>
            </a:ln>
            <a:effectLst/>
          </c:spPr>
        </c:hiLowLines>
        <c:axId val="2102340655"/>
        <c:axId val="2091096591"/>
      </c:stockChart>
      <c:dateAx>
        <c:axId val="2102340655"/>
        <c:scaling>
          <c:orientation val="minMax"/>
        </c:scaling>
        <c:delete val="0"/>
        <c:axPos val="b"/>
        <c:numFmt formatCode="m/d/yyyy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2091096591"/>
        <c:crosses val="autoZero"/>
        <c:auto val="1"/>
        <c:lblOffset val="100"/>
        <c:baseTimeUnit val="months"/>
      </c:dateAx>
      <c:valAx>
        <c:axId val="20910965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210234065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1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Fidelity generator</dc:creator>
  <cp:keywords/>
  <dc:description/>
  <cp:lastModifiedBy>Fidelity generator</cp:lastModifiedBy>
  <cp:revision>1</cp:revision>
  <dcterms:created xsi:type="dcterms:W3CDTF">2026-10-11T18:07:00Z</dcterms:created>
  <dcterms:modified xsi:type="dcterms:W3CDTF">2026-10-11T18:07:00Z</dcterms:modified>
</cp:coreProperties>
</file>